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562" w:firstLineChars="200"/>
        <w:jc w:val="center"/>
        <w:rPr>
          <w:rStyle w:val="9"/>
          <w:rFonts w:hint="eastAsia" w:ascii="宋体" w:hAnsi="宋体"/>
          <w:sz w:val="28"/>
          <w:szCs w:val="28"/>
        </w:rPr>
      </w:pPr>
      <w:r>
        <w:rPr>
          <w:rStyle w:val="9"/>
          <w:rFonts w:hint="eastAsia" w:ascii="宋体" w:hAnsi="宋体"/>
          <w:sz w:val="28"/>
          <w:szCs w:val="28"/>
        </w:rPr>
        <w:t>资源与环境工程学院</w:t>
      </w:r>
    </w:p>
    <w:p>
      <w:pPr>
        <w:ind w:firstLine="562" w:firstLineChars="200"/>
        <w:jc w:val="center"/>
        <w:rPr>
          <w:rStyle w:val="9"/>
          <w:rFonts w:ascii="宋体" w:hAnsi="宋体"/>
          <w:sz w:val="28"/>
          <w:szCs w:val="28"/>
        </w:rPr>
      </w:pPr>
      <w:r>
        <w:rPr>
          <w:rStyle w:val="9"/>
          <w:rFonts w:hint="eastAsia" w:ascii="宋体" w:hAnsi="宋体"/>
          <w:sz w:val="28"/>
          <w:szCs w:val="28"/>
        </w:rPr>
        <w:t>推荐202</w:t>
      </w:r>
      <w:r>
        <w:rPr>
          <w:rStyle w:val="9"/>
          <w:rFonts w:hint="eastAsia" w:ascii="宋体" w:hAnsi="宋体"/>
          <w:sz w:val="28"/>
          <w:szCs w:val="28"/>
          <w:lang w:val="en-US" w:eastAsia="zh-CN"/>
        </w:rPr>
        <w:t>3</w:t>
      </w:r>
      <w:r>
        <w:rPr>
          <w:rStyle w:val="9"/>
          <w:rFonts w:hint="eastAsia" w:ascii="宋体" w:hAnsi="宋体"/>
          <w:sz w:val="28"/>
          <w:szCs w:val="28"/>
        </w:rPr>
        <w:t>届优秀应届本科毕业生免试攻读硕士学位研究生实施方案</w:t>
      </w:r>
    </w:p>
    <w:p>
      <w:pPr>
        <w:widowControl/>
        <w:spacing w:line="440" w:lineRule="exact"/>
        <w:ind w:firstLine="460" w:firstLineChars="192"/>
        <w:jc w:val="left"/>
        <w:rPr>
          <w:rFonts w:ascii="宋体" w:hAnsi="宋体" w:cs="宋体"/>
          <w:kern w:val="0"/>
          <w:sz w:val="24"/>
        </w:rPr>
      </w:pPr>
      <w:r>
        <w:rPr>
          <w:rFonts w:ascii="宋体" w:hAnsi="宋体" w:eastAsia="宋体" w:cs="宋体"/>
          <w:kern w:val="0"/>
          <w:sz w:val="24"/>
        </w:rPr>
        <w:t>根据教育部</w:t>
      </w:r>
      <w:r>
        <w:rPr>
          <w:rFonts w:hint="eastAsia" w:ascii="宋体" w:hAnsi="宋体" w:eastAsia="宋体" w:cs="宋体"/>
          <w:kern w:val="0"/>
          <w:sz w:val="24"/>
          <w:lang w:val="en-US" w:eastAsia="zh-CN"/>
        </w:rPr>
        <w:t xml:space="preserve"> </w:t>
      </w:r>
      <w:r>
        <w:rPr>
          <w:rFonts w:hint="eastAsia" w:ascii="宋体" w:hAnsi="宋体" w:eastAsia="宋体" w:cs="宋体"/>
          <w:kern w:val="0"/>
          <w:sz w:val="24"/>
        </w:rPr>
        <w:t>《全国普通高等学校推荐优秀应届本科毕业生免试攻读硕士学位研究生工作管理办法（试行）》（教学〔2006〕14号）、</w:t>
      </w:r>
      <w:r>
        <w:rPr>
          <w:rFonts w:hint="eastAsia" w:ascii="宋体" w:hAnsi="宋体" w:eastAsia="宋体" w:cs="宋体"/>
          <w:kern w:val="0"/>
          <w:sz w:val="24"/>
          <w:lang w:eastAsia="zh-CN"/>
        </w:rPr>
        <w:t>教育部</w:t>
      </w:r>
      <w:r>
        <w:rPr>
          <w:rFonts w:hint="eastAsia" w:ascii="宋体" w:hAnsi="宋体" w:eastAsia="宋体" w:cs="宋体"/>
          <w:kern w:val="0"/>
          <w:sz w:val="24"/>
        </w:rPr>
        <w:t>关于印发《2023年全国硕士研究生招生工作管理规定》的通知</w:t>
      </w:r>
      <w:r>
        <w:rPr>
          <w:rFonts w:hint="eastAsia" w:ascii="宋体" w:hAnsi="宋体" w:eastAsia="宋体" w:cs="宋体"/>
          <w:kern w:val="0"/>
          <w:sz w:val="24"/>
          <w:lang w:eastAsia="zh-CN"/>
        </w:rPr>
        <w:t>（教学</w:t>
      </w:r>
      <w:r>
        <w:rPr>
          <w:rFonts w:hint="eastAsia" w:ascii="宋体" w:hAnsi="宋体" w:eastAsia="宋体" w:cs="宋体"/>
          <w:kern w:val="0"/>
          <w:sz w:val="24"/>
        </w:rPr>
        <w:t>〔</w:t>
      </w:r>
      <w:r>
        <w:rPr>
          <w:rFonts w:hint="eastAsia" w:ascii="宋体" w:hAnsi="宋体" w:eastAsia="宋体" w:cs="宋体"/>
          <w:kern w:val="0"/>
          <w:sz w:val="24"/>
          <w:lang w:val="en-US" w:eastAsia="zh-CN"/>
        </w:rPr>
        <w:t>2022</w:t>
      </w:r>
      <w:r>
        <w:rPr>
          <w:rFonts w:hint="eastAsia" w:ascii="宋体" w:hAnsi="宋体" w:eastAsia="宋体" w:cs="宋体"/>
          <w:kern w:val="0"/>
          <w:sz w:val="24"/>
        </w:rPr>
        <w:t>〕</w:t>
      </w:r>
      <w:r>
        <w:rPr>
          <w:rFonts w:hint="eastAsia" w:ascii="宋体" w:hAnsi="宋体" w:eastAsia="宋体" w:cs="宋体"/>
          <w:kern w:val="0"/>
          <w:sz w:val="24"/>
          <w:lang w:val="en-US" w:eastAsia="zh-CN"/>
        </w:rPr>
        <w:t>3号</w:t>
      </w:r>
      <w:r>
        <w:rPr>
          <w:rFonts w:hint="eastAsia" w:ascii="宋体" w:hAnsi="宋体" w:eastAsia="宋体" w:cs="宋体"/>
          <w:kern w:val="0"/>
          <w:sz w:val="24"/>
          <w:lang w:eastAsia="zh-CN"/>
        </w:rPr>
        <w:t>）</w:t>
      </w:r>
      <w:r>
        <w:rPr>
          <w:rFonts w:hint="eastAsia" w:ascii="宋体" w:hAnsi="宋体" w:eastAsia="宋体" w:cs="宋体"/>
          <w:kern w:val="0"/>
          <w:sz w:val="24"/>
          <w:lang w:val="en-US" w:eastAsia="zh-CN"/>
        </w:rPr>
        <w:t xml:space="preserve"> </w:t>
      </w:r>
      <w:r>
        <w:rPr>
          <w:rFonts w:hint="eastAsia" w:ascii="宋体" w:hAnsi="宋体" w:eastAsia="宋体" w:cs="宋体"/>
          <w:kern w:val="0"/>
          <w:sz w:val="24"/>
        </w:rPr>
        <w:t>、《教育部办公厅关于进一步</w:t>
      </w:r>
      <w:r>
        <w:rPr>
          <w:rFonts w:hint="eastAsia" w:ascii="宋体" w:hAnsi="宋体" w:eastAsia="宋体" w:cs="宋体"/>
          <w:kern w:val="0"/>
          <w:sz w:val="24"/>
          <w:lang w:eastAsia="zh-CN"/>
        </w:rPr>
        <w:t>规范和</w:t>
      </w:r>
      <w:r>
        <w:rPr>
          <w:rFonts w:hint="eastAsia" w:ascii="宋体" w:hAnsi="宋体" w:eastAsia="宋体" w:cs="宋体"/>
          <w:kern w:val="0"/>
          <w:sz w:val="24"/>
        </w:rPr>
        <w:t>加强推荐优秀应届本科毕业生免试攻读研究生工作</w:t>
      </w:r>
      <w:r>
        <w:rPr>
          <w:rFonts w:hint="eastAsia" w:ascii="宋体" w:hAnsi="宋体" w:eastAsia="宋体" w:cs="宋体"/>
          <w:kern w:val="0"/>
          <w:sz w:val="24"/>
          <w:lang w:eastAsia="zh-CN"/>
        </w:rPr>
        <w:t>的通知</w:t>
      </w:r>
      <w:r>
        <w:rPr>
          <w:rFonts w:hint="eastAsia" w:ascii="宋体" w:hAnsi="宋体" w:eastAsia="宋体" w:cs="宋体"/>
          <w:kern w:val="0"/>
          <w:sz w:val="24"/>
        </w:rPr>
        <w:t>》、《武汉科技大学关于推荐优秀本科毕业生免试攻读硕士学位研究生管理办法（试行）》（武科大教发〔2022〕13号）等文件</w:t>
      </w:r>
      <w:r>
        <w:rPr>
          <w:rFonts w:ascii="宋体" w:hAnsi="宋体" w:eastAsia="宋体" w:cs="宋体"/>
          <w:kern w:val="0"/>
          <w:sz w:val="24"/>
        </w:rPr>
        <w:t>精神，为切实做好我校推荐优秀本科生免试攻读硕士研究生（以下简称</w:t>
      </w:r>
      <w:r>
        <w:rPr>
          <w:rFonts w:hint="eastAsia" w:ascii="宋体" w:hAnsi="宋体" w:eastAsia="宋体" w:cs="宋体"/>
          <w:kern w:val="0"/>
          <w:sz w:val="24"/>
        </w:rPr>
        <w:t>“</w:t>
      </w:r>
      <w:r>
        <w:rPr>
          <w:rFonts w:ascii="宋体" w:hAnsi="宋体" w:eastAsia="宋体" w:cs="宋体"/>
          <w:kern w:val="0"/>
          <w:sz w:val="24"/>
        </w:rPr>
        <w:t>推免生</w:t>
      </w:r>
      <w:r>
        <w:rPr>
          <w:rFonts w:hint="eastAsia" w:ascii="宋体" w:hAnsi="宋体" w:eastAsia="宋体" w:cs="宋体"/>
          <w:kern w:val="0"/>
          <w:sz w:val="24"/>
        </w:rPr>
        <w:t>”</w:t>
      </w:r>
      <w:r>
        <w:rPr>
          <w:rFonts w:ascii="宋体" w:hAnsi="宋体" w:eastAsia="宋体" w:cs="宋体"/>
          <w:kern w:val="0"/>
          <w:sz w:val="24"/>
        </w:rPr>
        <w:t>）工作，</w:t>
      </w:r>
      <w:r>
        <w:rPr>
          <w:rFonts w:hint="eastAsia" w:ascii="宋体" w:hAnsi="宋体" w:eastAsia="宋体" w:cs="宋体"/>
          <w:kern w:val="0"/>
          <w:sz w:val="24"/>
        </w:rPr>
        <w:t>确保推免工作公平、公开、公正，</w:t>
      </w:r>
      <w:r>
        <w:rPr>
          <w:rFonts w:hint="eastAsia" w:ascii="宋体" w:hAnsi="宋体" w:cs="宋体"/>
          <w:kern w:val="0"/>
          <w:sz w:val="24"/>
        </w:rPr>
        <w:t>现就我院202</w:t>
      </w:r>
      <w:r>
        <w:rPr>
          <w:rFonts w:hint="eastAsia" w:ascii="宋体" w:hAnsi="宋体" w:cs="宋体"/>
          <w:kern w:val="0"/>
          <w:sz w:val="24"/>
          <w:lang w:val="en-US" w:eastAsia="zh-CN"/>
        </w:rPr>
        <w:t>3</w:t>
      </w:r>
      <w:r>
        <w:rPr>
          <w:rFonts w:hint="eastAsia" w:ascii="宋体" w:hAnsi="宋体" w:cs="宋体"/>
          <w:kern w:val="0"/>
          <w:sz w:val="24"/>
        </w:rPr>
        <w:t>届本科毕业生推免有关工作通知如下：</w:t>
      </w:r>
    </w:p>
    <w:p>
      <w:pPr>
        <w:widowControl/>
        <w:spacing w:line="440" w:lineRule="exact"/>
        <w:ind w:firstLine="482" w:firstLineChars="200"/>
        <w:jc w:val="left"/>
        <w:rPr>
          <w:rFonts w:ascii="宋体" w:hAnsi="宋体" w:cs="宋体"/>
          <w:b/>
          <w:bCs/>
          <w:kern w:val="0"/>
          <w:sz w:val="24"/>
        </w:rPr>
      </w:pPr>
      <w:r>
        <w:rPr>
          <w:rFonts w:ascii="宋体" w:hAnsi="宋体" w:cs="宋体"/>
          <w:b/>
          <w:bCs/>
          <w:kern w:val="0"/>
          <w:sz w:val="24"/>
        </w:rPr>
        <w:t>一、推免生名额分配</w:t>
      </w:r>
    </w:p>
    <w:p>
      <w:pPr>
        <w:widowControl/>
        <w:spacing w:line="440" w:lineRule="exact"/>
        <w:ind w:firstLine="480" w:firstLineChars="200"/>
        <w:jc w:val="left"/>
        <w:rPr>
          <w:rFonts w:ascii="宋体" w:hAnsi="宋体" w:cs="宋体"/>
          <w:kern w:val="0"/>
          <w:sz w:val="24"/>
        </w:rPr>
      </w:pPr>
      <w:r>
        <w:rPr>
          <w:rFonts w:hint="eastAsia" w:ascii="宋体" w:hAnsi="宋体" w:cs="宋体"/>
          <w:kern w:val="0"/>
          <w:sz w:val="24"/>
        </w:rPr>
        <w:t>资源与环境工程学院推免生</w:t>
      </w:r>
      <w:r>
        <w:rPr>
          <w:rFonts w:ascii="宋体" w:hAnsi="宋体" w:cs="宋体"/>
          <w:kern w:val="0"/>
          <w:sz w:val="24"/>
        </w:rPr>
        <w:t>总额</w:t>
      </w:r>
      <w:r>
        <w:rPr>
          <w:rFonts w:hint="eastAsia" w:ascii="宋体" w:hAnsi="宋体" w:cs="宋体"/>
          <w:kern w:val="0"/>
          <w:sz w:val="24"/>
        </w:rPr>
        <w:t>2</w:t>
      </w:r>
      <w:r>
        <w:rPr>
          <w:rFonts w:hint="eastAsia" w:ascii="宋体" w:hAnsi="宋体" w:cs="宋体"/>
          <w:kern w:val="0"/>
          <w:sz w:val="24"/>
          <w:lang w:val="en-US" w:eastAsia="zh-CN"/>
        </w:rPr>
        <w:t>8</w:t>
      </w:r>
      <w:r>
        <w:rPr>
          <w:rFonts w:hint="eastAsia" w:ascii="宋体" w:hAnsi="宋体" w:cs="宋体"/>
          <w:kern w:val="0"/>
          <w:sz w:val="24"/>
        </w:rPr>
        <w:t>名，其中包含“拔尖人才培育计划”。名额分配依据人才培养、学科建设与发展以及“拔尖人才培育计划”执行情况等因素综合确定。</w:t>
      </w:r>
    </w:p>
    <w:tbl>
      <w:tblPr>
        <w:tblStyle w:val="6"/>
        <w:tblpPr w:leftFromText="180" w:rightFromText="180" w:vertAnchor="text" w:horzAnchor="page" w:tblpXSpec="center" w:tblpY="303"/>
        <w:tblOverlap w:val="never"/>
        <w:tblW w:w="8130" w:type="dxa"/>
        <w:jc w:val="center"/>
        <w:tblLayout w:type="fixed"/>
        <w:tblCellMar>
          <w:top w:w="0" w:type="dxa"/>
          <w:left w:w="0" w:type="dxa"/>
          <w:bottom w:w="0" w:type="dxa"/>
          <w:right w:w="0" w:type="dxa"/>
        </w:tblCellMar>
      </w:tblPr>
      <w:tblGrid>
        <w:gridCol w:w="2910"/>
        <w:gridCol w:w="2659"/>
        <w:gridCol w:w="2561"/>
      </w:tblGrid>
      <w:tr>
        <w:tblPrEx>
          <w:tblCellMar>
            <w:top w:w="0" w:type="dxa"/>
            <w:left w:w="0" w:type="dxa"/>
            <w:bottom w:w="0" w:type="dxa"/>
            <w:right w:w="0" w:type="dxa"/>
          </w:tblCellMar>
        </w:tblPrEx>
        <w:trPr>
          <w:trHeight w:val="535" w:hRule="atLeast"/>
          <w:jc w:val="center"/>
        </w:trPr>
        <w:tc>
          <w:tcPr>
            <w:tcW w:w="29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b/>
                <w:color w:val="000000"/>
                <w:sz w:val="24"/>
              </w:rPr>
            </w:pPr>
            <w:r>
              <w:rPr>
                <w:rFonts w:hint="eastAsia" w:ascii="宋体" w:hAnsi="宋体" w:cs="宋体"/>
                <w:b/>
                <w:color w:val="000000"/>
                <w:kern w:val="0"/>
                <w:sz w:val="24"/>
              </w:rPr>
              <w:t>专业</w:t>
            </w:r>
          </w:p>
        </w:tc>
        <w:tc>
          <w:tcPr>
            <w:tcW w:w="26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ind w:firstLine="241" w:firstLineChars="100"/>
              <w:textAlignment w:val="center"/>
              <w:rPr>
                <w:rFonts w:ascii="宋体" w:hAnsi="宋体" w:cs="宋体"/>
                <w:b/>
                <w:color w:val="000000"/>
                <w:sz w:val="24"/>
              </w:rPr>
            </w:pPr>
            <w:r>
              <w:rPr>
                <w:rFonts w:hint="eastAsia" w:ascii="宋体" w:hAnsi="宋体" w:cs="宋体"/>
                <w:b/>
                <w:color w:val="000000"/>
                <w:kern w:val="0"/>
                <w:sz w:val="24"/>
              </w:rPr>
              <w:t>拔尖人才培育计划</w:t>
            </w:r>
          </w:p>
        </w:tc>
        <w:tc>
          <w:tcPr>
            <w:tcW w:w="25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b/>
                <w:color w:val="000000"/>
                <w:kern w:val="0"/>
                <w:sz w:val="24"/>
                <w:szCs w:val="24"/>
                <w:lang w:val="en-US" w:eastAsia="zh-CN" w:bidi="ar-SA"/>
              </w:rPr>
            </w:pPr>
            <w:r>
              <w:rPr>
                <w:rFonts w:hint="eastAsia" w:ascii="宋体" w:hAnsi="宋体" w:cs="宋体"/>
                <w:b/>
                <w:color w:val="000000"/>
                <w:kern w:val="0"/>
                <w:sz w:val="24"/>
              </w:rPr>
              <w:t>其他推免生名额</w:t>
            </w:r>
          </w:p>
        </w:tc>
      </w:tr>
      <w:tr>
        <w:tblPrEx>
          <w:tblCellMar>
            <w:top w:w="0" w:type="dxa"/>
            <w:left w:w="0" w:type="dxa"/>
            <w:bottom w:w="0" w:type="dxa"/>
            <w:right w:w="0" w:type="dxa"/>
          </w:tblCellMar>
        </w:tblPrEx>
        <w:trPr>
          <w:trHeight w:val="285" w:hRule="atLeast"/>
          <w:jc w:val="center"/>
        </w:trPr>
        <w:tc>
          <w:tcPr>
            <w:tcW w:w="29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安全工程</w:t>
            </w:r>
          </w:p>
        </w:tc>
        <w:tc>
          <w:tcPr>
            <w:tcW w:w="265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color w:val="000000" w:themeColor="text1"/>
                <w:sz w:val="24"/>
                <w:lang w:val="en-US" w:eastAsia="zh-CN"/>
                <w14:textFill>
                  <w14:solidFill>
                    <w14:schemeClr w14:val="tx1"/>
                  </w14:solidFill>
                </w14:textFill>
              </w:rPr>
            </w:pPr>
            <w:r>
              <w:rPr>
                <w:rFonts w:hint="eastAsia" w:ascii="宋体" w:hAnsi="宋体" w:cs="宋体"/>
                <w:i w:val="0"/>
                <w:iCs w:val="0"/>
                <w:color w:val="000000" w:themeColor="text1"/>
                <w:kern w:val="0"/>
                <w:sz w:val="24"/>
                <w:szCs w:val="24"/>
                <w:u w:val="none"/>
                <w:lang w:val="en-US" w:eastAsia="zh-CN" w:bidi="ar"/>
                <w14:textFill>
                  <w14:solidFill>
                    <w14:schemeClr w14:val="tx1"/>
                  </w14:solidFill>
                </w14:textFill>
              </w:rPr>
              <w:t>2</w:t>
            </w:r>
          </w:p>
        </w:tc>
        <w:tc>
          <w:tcPr>
            <w:tcW w:w="256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themeColor="text1"/>
                <w:kern w:val="0"/>
                <w:sz w:val="24"/>
                <w:szCs w:val="24"/>
                <w:lang w:val="en-US" w:eastAsia="zh-CN" w:bidi="ar-SA"/>
                <w14:textFill>
                  <w14:solidFill>
                    <w14:schemeClr w14:val="tx1"/>
                  </w14:solidFill>
                </w14:textFill>
              </w:rPr>
            </w:pPr>
            <w:r>
              <w:rPr>
                <w:rFonts w:hint="eastAsia" w:ascii="宋体" w:hAnsi="宋体" w:cs="宋体"/>
                <w:color w:val="000000" w:themeColor="text1"/>
                <w:kern w:val="0"/>
                <w:sz w:val="24"/>
                <w:lang w:val="en-US" w:eastAsia="zh-CN"/>
                <w14:textFill>
                  <w14:solidFill>
                    <w14:schemeClr w14:val="tx1"/>
                  </w14:solidFill>
                </w14:textFill>
              </w:rPr>
              <w:t>4</w:t>
            </w:r>
          </w:p>
        </w:tc>
      </w:tr>
      <w:tr>
        <w:tblPrEx>
          <w:tblCellMar>
            <w:top w:w="0" w:type="dxa"/>
            <w:left w:w="0" w:type="dxa"/>
            <w:bottom w:w="0" w:type="dxa"/>
            <w:right w:w="0" w:type="dxa"/>
          </w:tblCellMar>
        </w:tblPrEx>
        <w:trPr>
          <w:trHeight w:val="285" w:hRule="atLeast"/>
          <w:jc w:val="center"/>
        </w:trPr>
        <w:tc>
          <w:tcPr>
            <w:tcW w:w="29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采矿工程</w:t>
            </w:r>
          </w:p>
        </w:tc>
        <w:tc>
          <w:tcPr>
            <w:tcW w:w="265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000000" w:themeColor="text1"/>
                <w:sz w:val="24"/>
                <w:lang w:eastAsia="zh-CN"/>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6</w:t>
            </w:r>
          </w:p>
        </w:tc>
        <w:tc>
          <w:tcPr>
            <w:tcW w:w="256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themeColor="text1"/>
                <w:kern w:val="2"/>
                <w:sz w:val="24"/>
                <w:szCs w:val="24"/>
                <w:lang w:val="en-US" w:eastAsia="zh-CN" w:bidi="ar-SA"/>
                <w14:textFill>
                  <w14:solidFill>
                    <w14:schemeClr w14:val="tx1"/>
                  </w14:solidFill>
                </w14:textFill>
              </w:rPr>
            </w:pPr>
            <w:r>
              <w:rPr>
                <w:rFonts w:hint="eastAsia" w:ascii="宋体" w:hAnsi="宋体" w:cs="宋体"/>
                <w:color w:val="000000" w:themeColor="text1"/>
                <w:sz w:val="24"/>
                <w14:textFill>
                  <w14:solidFill>
                    <w14:schemeClr w14:val="tx1"/>
                  </w14:solidFill>
                </w14:textFill>
              </w:rPr>
              <w:t>1</w:t>
            </w:r>
          </w:p>
        </w:tc>
      </w:tr>
      <w:tr>
        <w:tblPrEx>
          <w:tblCellMar>
            <w:top w:w="0" w:type="dxa"/>
            <w:left w:w="0" w:type="dxa"/>
            <w:bottom w:w="0" w:type="dxa"/>
            <w:right w:w="0" w:type="dxa"/>
          </w:tblCellMar>
        </w:tblPrEx>
        <w:trPr>
          <w:trHeight w:val="285" w:hRule="atLeast"/>
          <w:jc w:val="center"/>
        </w:trPr>
        <w:tc>
          <w:tcPr>
            <w:tcW w:w="29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矿物加工工程</w:t>
            </w:r>
          </w:p>
        </w:tc>
        <w:tc>
          <w:tcPr>
            <w:tcW w:w="265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color w:val="000000" w:themeColor="text1"/>
                <w:sz w:val="24"/>
                <w:lang w:val="en-US" w:eastAsia="zh-CN"/>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3</w:t>
            </w:r>
          </w:p>
        </w:tc>
        <w:tc>
          <w:tcPr>
            <w:tcW w:w="256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themeColor="text1"/>
                <w:kern w:val="2"/>
                <w:sz w:val="24"/>
                <w:szCs w:val="24"/>
                <w:lang w:val="en-US" w:eastAsia="zh-CN" w:bidi="ar-SA"/>
                <w14:textFill>
                  <w14:solidFill>
                    <w14:schemeClr w14:val="tx1"/>
                  </w14:solidFill>
                </w14:textFill>
              </w:rPr>
            </w:pPr>
            <w:r>
              <w:rPr>
                <w:rFonts w:hint="eastAsia" w:ascii="宋体" w:hAnsi="宋体" w:cs="宋体"/>
                <w:color w:val="000000" w:themeColor="text1"/>
                <w:sz w:val="24"/>
                <w:lang w:val="en-US" w:eastAsia="zh-CN"/>
                <w14:textFill>
                  <w14:solidFill>
                    <w14:schemeClr w14:val="tx1"/>
                  </w14:solidFill>
                </w14:textFill>
              </w:rPr>
              <w:t>2</w:t>
            </w:r>
          </w:p>
        </w:tc>
      </w:tr>
      <w:tr>
        <w:tblPrEx>
          <w:tblCellMar>
            <w:top w:w="0" w:type="dxa"/>
            <w:left w:w="0" w:type="dxa"/>
            <w:bottom w:w="0" w:type="dxa"/>
            <w:right w:w="0" w:type="dxa"/>
          </w:tblCellMar>
        </w:tblPrEx>
        <w:trPr>
          <w:trHeight w:val="285" w:hRule="atLeast"/>
          <w:jc w:val="center"/>
        </w:trPr>
        <w:tc>
          <w:tcPr>
            <w:tcW w:w="29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矿物加工工程（卓越计划）</w:t>
            </w:r>
          </w:p>
        </w:tc>
        <w:tc>
          <w:tcPr>
            <w:tcW w:w="265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color w:val="000000" w:themeColor="text1"/>
                <w:sz w:val="24"/>
                <w:lang w:val="en-US" w:eastAsia="zh-CN"/>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w:t>
            </w:r>
          </w:p>
        </w:tc>
        <w:tc>
          <w:tcPr>
            <w:tcW w:w="256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themeColor="text1"/>
                <w:kern w:val="0"/>
                <w:sz w:val="24"/>
                <w:szCs w:val="24"/>
                <w:lang w:val="en-US" w:eastAsia="zh-CN" w:bidi="ar-SA"/>
                <w14:textFill>
                  <w14:solidFill>
                    <w14:schemeClr w14:val="tx1"/>
                  </w14:solidFill>
                </w14:textFill>
              </w:rPr>
            </w:pPr>
            <w:r>
              <w:rPr>
                <w:rFonts w:hint="eastAsia" w:ascii="宋体" w:hAnsi="宋体" w:cs="宋体"/>
                <w:color w:val="000000" w:themeColor="text1"/>
                <w:kern w:val="0"/>
                <w:sz w:val="24"/>
                <w:lang w:val="en-US" w:eastAsia="zh-CN"/>
                <w14:textFill>
                  <w14:solidFill>
                    <w14:schemeClr w14:val="tx1"/>
                  </w14:solidFill>
                </w14:textFill>
              </w:rPr>
              <w:t>1</w:t>
            </w:r>
          </w:p>
        </w:tc>
      </w:tr>
      <w:tr>
        <w:tblPrEx>
          <w:tblCellMar>
            <w:top w:w="0" w:type="dxa"/>
            <w:left w:w="0" w:type="dxa"/>
            <w:bottom w:w="0" w:type="dxa"/>
            <w:right w:w="0" w:type="dxa"/>
          </w:tblCellMar>
        </w:tblPrEx>
        <w:trPr>
          <w:trHeight w:val="285" w:hRule="atLeast"/>
          <w:jc w:val="center"/>
        </w:trPr>
        <w:tc>
          <w:tcPr>
            <w:tcW w:w="29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环境工程</w:t>
            </w:r>
          </w:p>
        </w:tc>
        <w:tc>
          <w:tcPr>
            <w:tcW w:w="265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themeColor="text1"/>
                <w:sz w:val="24"/>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w:t>
            </w:r>
          </w:p>
        </w:tc>
        <w:tc>
          <w:tcPr>
            <w:tcW w:w="256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themeColor="text1"/>
                <w:kern w:val="0"/>
                <w:sz w:val="24"/>
                <w:szCs w:val="24"/>
                <w:lang w:val="en-US" w:eastAsia="zh-CN" w:bidi="ar-SA"/>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3</w:t>
            </w:r>
          </w:p>
        </w:tc>
      </w:tr>
      <w:tr>
        <w:tblPrEx>
          <w:tblCellMar>
            <w:top w:w="0" w:type="dxa"/>
            <w:left w:w="0" w:type="dxa"/>
            <w:bottom w:w="0" w:type="dxa"/>
            <w:right w:w="0" w:type="dxa"/>
          </w:tblCellMar>
        </w:tblPrEx>
        <w:trPr>
          <w:trHeight w:val="285" w:hRule="atLeast"/>
          <w:jc w:val="center"/>
        </w:trPr>
        <w:tc>
          <w:tcPr>
            <w:tcW w:w="29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宋体" w:hAnsi="宋体" w:eastAsia="宋体" w:cs="宋体"/>
                <w:color w:val="000000" w:themeColor="text1"/>
                <w:sz w:val="24"/>
                <w:lang w:val="en-US" w:eastAsia="zh-CN"/>
                <w14:textFill>
                  <w14:solidFill>
                    <w14:schemeClr w14:val="tx1"/>
                  </w14:solidFill>
                </w14:textFill>
              </w:rPr>
            </w:pPr>
            <w:r>
              <w:rPr>
                <w:rFonts w:hint="eastAsia" w:ascii="宋体" w:hAnsi="宋体" w:cs="宋体"/>
                <w:color w:val="000000" w:themeColor="text1"/>
                <w:kern w:val="0"/>
                <w:sz w:val="24"/>
                <w:lang w:val="en-US" w:eastAsia="zh-CN"/>
                <w14:textFill>
                  <w14:solidFill>
                    <w14:schemeClr w14:val="tx1"/>
                  </w14:solidFill>
                </w14:textFill>
              </w:rPr>
              <w:t>地理信息科学</w:t>
            </w:r>
          </w:p>
        </w:tc>
        <w:tc>
          <w:tcPr>
            <w:tcW w:w="265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000000" w:themeColor="text1"/>
                <w:sz w:val="24"/>
                <w:lang w:eastAsia="zh-CN"/>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w:t>
            </w:r>
          </w:p>
        </w:tc>
        <w:tc>
          <w:tcPr>
            <w:tcW w:w="256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themeColor="text1"/>
                <w:kern w:val="0"/>
                <w:sz w:val="24"/>
                <w:szCs w:val="24"/>
                <w:lang w:val="en-US" w:eastAsia="zh-CN" w:bidi="ar-SA"/>
                <w14:textFill>
                  <w14:solidFill>
                    <w14:schemeClr w14:val="tx1"/>
                  </w14:solidFill>
                </w14:textFill>
              </w:rPr>
            </w:pPr>
            <w:r>
              <w:rPr>
                <w:rFonts w:hint="eastAsia" w:ascii="宋体" w:hAnsi="宋体" w:cs="宋体"/>
                <w:color w:val="000000" w:themeColor="text1"/>
                <w:kern w:val="0"/>
                <w:sz w:val="24"/>
                <w:lang w:val="en-US" w:eastAsia="zh-CN"/>
                <w14:textFill>
                  <w14:solidFill>
                    <w14:schemeClr w14:val="tx1"/>
                  </w14:solidFill>
                </w14:textFill>
              </w:rPr>
              <w:t>3</w:t>
            </w:r>
          </w:p>
        </w:tc>
      </w:tr>
      <w:tr>
        <w:tblPrEx>
          <w:tblCellMar>
            <w:top w:w="0" w:type="dxa"/>
            <w:left w:w="0" w:type="dxa"/>
            <w:bottom w:w="0" w:type="dxa"/>
            <w:right w:w="0" w:type="dxa"/>
          </w:tblCellMar>
        </w:tblPrEx>
        <w:trPr>
          <w:trHeight w:val="285" w:hRule="atLeast"/>
          <w:jc w:val="center"/>
        </w:trPr>
        <w:tc>
          <w:tcPr>
            <w:tcW w:w="29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合计</w:t>
            </w:r>
          </w:p>
        </w:tc>
        <w:tc>
          <w:tcPr>
            <w:tcW w:w="265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000000" w:themeColor="text1"/>
                <w:sz w:val="24"/>
                <w:lang w:eastAsia="zh-CN"/>
                <w14:textFill>
                  <w14:solidFill>
                    <w14:schemeClr w14:val="tx1"/>
                  </w14:solidFill>
                </w14:textFill>
              </w:rPr>
            </w:pPr>
            <w:r>
              <w:rPr>
                <w:rFonts w:hint="eastAsia" w:ascii="宋体" w:hAnsi="宋体" w:cs="宋体"/>
                <w:b/>
                <w:color w:val="000000" w:themeColor="text1"/>
                <w:kern w:val="0"/>
                <w:sz w:val="24"/>
                <w14:textFill>
                  <w14:solidFill>
                    <w14:schemeClr w14:val="tx1"/>
                  </w14:solidFill>
                </w14:textFill>
              </w:rPr>
              <w:t>1</w:t>
            </w:r>
            <w:r>
              <w:rPr>
                <w:rFonts w:hint="eastAsia" w:ascii="宋体" w:hAnsi="宋体" w:cs="宋体"/>
                <w:b/>
                <w:color w:val="000000" w:themeColor="text1"/>
                <w:kern w:val="0"/>
                <w:sz w:val="24"/>
                <w:lang w:val="en-US" w:eastAsia="zh-CN"/>
                <w14:textFill>
                  <w14:solidFill>
                    <w14:schemeClr w14:val="tx1"/>
                  </w14:solidFill>
                </w14:textFill>
              </w:rPr>
              <w:t>4</w:t>
            </w:r>
          </w:p>
        </w:tc>
        <w:tc>
          <w:tcPr>
            <w:tcW w:w="256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宋体" w:hAnsi="宋体" w:eastAsia="宋体" w:cs="宋体"/>
                <w:b/>
                <w:color w:val="000000" w:themeColor="text1"/>
                <w:kern w:val="0"/>
                <w:sz w:val="24"/>
                <w:szCs w:val="24"/>
                <w:lang w:val="en-US" w:eastAsia="zh-CN" w:bidi="ar-SA"/>
                <w14:textFill>
                  <w14:solidFill>
                    <w14:schemeClr w14:val="tx1"/>
                  </w14:solidFill>
                </w14:textFill>
              </w:rPr>
            </w:pPr>
            <w:r>
              <w:rPr>
                <w:rFonts w:hint="eastAsia" w:ascii="宋体" w:hAnsi="宋体" w:cs="宋体"/>
                <w:b/>
                <w:color w:val="000000" w:themeColor="text1"/>
                <w:kern w:val="0"/>
                <w:sz w:val="24"/>
                <w:lang w:val="en-US" w:eastAsia="zh-CN"/>
                <w14:textFill>
                  <w14:solidFill>
                    <w14:schemeClr w14:val="tx1"/>
                  </w14:solidFill>
                </w14:textFill>
              </w:rPr>
              <w:t>14</w:t>
            </w:r>
          </w:p>
        </w:tc>
      </w:tr>
    </w:tbl>
    <w:p>
      <w:pPr>
        <w:widowControl/>
        <w:spacing w:line="440" w:lineRule="exact"/>
        <w:ind w:firstLine="463" w:firstLineChars="192"/>
        <w:jc w:val="left"/>
        <w:rPr>
          <w:rFonts w:ascii="宋体" w:hAnsi="宋体" w:cs="宋体"/>
          <w:b/>
          <w:bCs/>
          <w:kern w:val="0"/>
          <w:sz w:val="24"/>
        </w:rPr>
      </w:pPr>
    </w:p>
    <w:p>
      <w:pPr>
        <w:widowControl/>
        <w:spacing w:line="440" w:lineRule="exact"/>
        <w:ind w:firstLine="463" w:firstLineChars="192"/>
        <w:jc w:val="left"/>
        <w:rPr>
          <w:rFonts w:ascii="宋体" w:hAnsi="宋体" w:cs="宋体"/>
          <w:b/>
          <w:bCs/>
          <w:kern w:val="0"/>
          <w:sz w:val="24"/>
        </w:rPr>
      </w:pPr>
    </w:p>
    <w:p>
      <w:pPr>
        <w:widowControl/>
        <w:spacing w:line="440" w:lineRule="exact"/>
        <w:ind w:firstLine="463" w:firstLineChars="192"/>
        <w:jc w:val="left"/>
        <w:rPr>
          <w:rFonts w:ascii="宋体" w:hAnsi="宋体" w:cs="宋体"/>
          <w:b/>
          <w:bCs/>
          <w:kern w:val="0"/>
          <w:sz w:val="24"/>
        </w:rPr>
      </w:pPr>
    </w:p>
    <w:p>
      <w:pPr>
        <w:widowControl/>
        <w:spacing w:line="440" w:lineRule="exact"/>
        <w:ind w:firstLine="463" w:firstLineChars="192"/>
        <w:jc w:val="left"/>
        <w:rPr>
          <w:rFonts w:ascii="宋体" w:hAnsi="宋体" w:cs="宋体"/>
          <w:b/>
          <w:bCs/>
          <w:kern w:val="0"/>
          <w:sz w:val="24"/>
        </w:rPr>
      </w:pPr>
    </w:p>
    <w:p>
      <w:pPr>
        <w:widowControl/>
        <w:spacing w:line="440" w:lineRule="exact"/>
        <w:ind w:firstLine="463" w:firstLineChars="192"/>
        <w:jc w:val="left"/>
        <w:rPr>
          <w:rFonts w:ascii="宋体" w:hAnsi="宋体" w:cs="宋体"/>
          <w:b/>
          <w:bCs/>
          <w:kern w:val="0"/>
          <w:sz w:val="24"/>
        </w:rPr>
      </w:pPr>
    </w:p>
    <w:p>
      <w:pPr>
        <w:widowControl/>
        <w:spacing w:line="440" w:lineRule="exact"/>
        <w:ind w:firstLine="463" w:firstLineChars="192"/>
        <w:jc w:val="left"/>
        <w:rPr>
          <w:rFonts w:ascii="宋体" w:hAnsi="宋体" w:cs="宋体"/>
          <w:b/>
          <w:bCs/>
          <w:kern w:val="0"/>
          <w:sz w:val="24"/>
        </w:rPr>
      </w:pPr>
    </w:p>
    <w:p>
      <w:pPr>
        <w:widowControl/>
        <w:spacing w:line="440" w:lineRule="exact"/>
        <w:ind w:firstLine="463" w:firstLineChars="192"/>
        <w:jc w:val="left"/>
        <w:rPr>
          <w:rFonts w:ascii="宋体" w:hAnsi="宋体" w:cs="宋体"/>
          <w:b/>
          <w:bCs/>
          <w:kern w:val="0"/>
          <w:sz w:val="24"/>
        </w:rPr>
      </w:pPr>
    </w:p>
    <w:p>
      <w:pPr>
        <w:widowControl/>
        <w:spacing w:line="440" w:lineRule="exact"/>
        <w:ind w:firstLine="463" w:firstLineChars="192"/>
        <w:jc w:val="left"/>
        <w:rPr>
          <w:rFonts w:ascii="宋体" w:hAnsi="宋体" w:cs="宋体"/>
          <w:b/>
          <w:bCs/>
          <w:kern w:val="0"/>
          <w:sz w:val="24"/>
        </w:rPr>
      </w:pPr>
    </w:p>
    <w:p>
      <w:pPr>
        <w:widowControl/>
        <w:spacing w:line="440" w:lineRule="exact"/>
        <w:ind w:firstLine="482" w:firstLineChars="200"/>
        <w:jc w:val="left"/>
        <w:rPr>
          <w:rFonts w:ascii="宋体" w:hAnsi="宋体" w:cs="宋体"/>
          <w:b/>
          <w:bCs/>
          <w:kern w:val="0"/>
          <w:sz w:val="24"/>
        </w:rPr>
      </w:pPr>
      <w:r>
        <w:rPr>
          <w:rFonts w:hint="eastAsia" w:ascii="宋体" w:hAnsi="宋体" w:cs="宋体"/>
          <w:b/>
          <w:bCs/>
          <w:kern w:val="0"/>
          <w:sz w:val="24"/>
        </w:rPr>
        <w:t xml:space="preserve">二、推免生基本条件 </w:t>
      </w:r>
    </w:p>
    <w:p>
      <w:pPr>
        <w:widowControl/>
        <w:spacing w:line="440" w:lineRule="exact"/>
        <w:ind w:firstLine="480"/>
        <w:jc w:val="left"/>
        <w:rPr>
          <w:rFonts w:hint="eastAsia" w:ascii="宋体" w:hAnsi="宋体" w:cs="宋体"/>
          <w:kern w:val="0"/>
          <w:sz w:val="24"/>
        </w:rPr>
      </w:pPr>
      <w:r>
        <w:rPr>
          <w:rFonts w:hint="eastAsia" w:ascii="宋体" w:hAnsi="宋体" w:cs="宋体"/>
          <w:kern w:val="0"/>
          <w:sz w:val="24"/>
        </w:rPr>
        <w:t xml:space="preserve">   (一) 坚持四项基本原则，拥护党的领导，具有高尚的爱国主义情操和集体主义精神，理想信念坚定，社会责任感强，遵纪守法，品行端正，诚实守信，无学术不端行为，在校期间未受过任何处分。</w:t>
      </w:r>
    </w:p>
    <w:p>
      <w:pPr>
        <w:widowControl/>
        <w:spacing w:line="360" w:lineRule="auto"/>
        <w:ind w:firstLine="480" w:firstLineChars="200"/>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(二) 勤奋学习，刻苦钻研，基础知识扎实，</w:t>
      </w:r>
      <w:r>
        <w:rPr>
          <w:rFonts w:hint="eastAsia" w:ascii="宋体" w:hAnsi="宋体" w:cs="宋体"/>
          <w:color w:val="000000" w:themeColor="text1"/>
          <w:kern w:val="0"/>
          <w:sz w:val="24"/>
          <w:lang w:eastAsia="zh-CN"/>
          <w14:textFill>
            <w14:solidFill>
              <w14:schemeClr w14:val="tx1"/>
            </w14:solidFill>
          </w14:textFill>
        </w:rPr>
        <w:t>大学在校</w:t>
      </w:r>
      <w:r>
        <w:rPr>
          <w:rFonts w:hint="eastAsia" w:ascii="宋体" w:hAnsi="宋体" w:cs="宋体"/>
          <w:color w:val="000000" w:themeColor="text1"/>
          <w:kern w:val="0"/>
          <w:sz w:val="24"/>
          <w14:textFill>
            <w14:solidFill>
              <w14:schemeClr w14:val="tx1"/>
            </w14:solidFill>
          </w14:textFill>
        </w:rPr>
        <w:t>期间所有课程考核成绩必须合格，且平均学分绩点在</w:t>
      </w:r>
      <w:r>
        <w:rPr>
          <w:rFonts w:ascii="宋体" w:hAnsi="宋体" w:cs="宋体"/>
          <w:color w:val="000000" w:themeColor="text1"/>
          <w:kern w:val="0"/>
          <w:sz w:val="24"/>
          <w14:textFill>
            <w14:solidFill>
              <w14:schemeClr w14:val="tx1"/>
            </w14:solidFill>
          </w14:textFill>
        </w:rPr>
        <w:t>3.0</w:t>
      </w:r>
      <w:r>
        <w:rPr>
          <w:rFonts w:hint="eastAsia" w:ascii="宋体" w:hAnsi="宋体" w:cs="宋体"/>
          <w:color w:val="000000" w:themeColor="text1"/>
          <w:kern w:val="0"/>
          <w:sz w:val="24"/>
          <w14:textFill>
            <w14:solidFill>
              <w14:schemeClr w14:val="tx1"/>
            </w14:solidFill>
          </w14:textFill>
        </w:rPr>
        <w:t>及以上，全国大学英语四级考试成绩达到</w:t>
      </w:r>
      <w:r>
        <w:rPr>
          <w:rFonts w:ascii="宋体" w:hAnsi="宋体" w:cs="宋体"/>
          <w:color w:val="000000" w:themeColor="text1"/>
          <w:kern w:val="0"/>
          <w:sz w:val="24"/>
          <w14:textFill>
            <w14:solidFill>
              <w14:schemeClr w14:val="tx1"/>
            </w14:solidFill>
          </w14:textFill>
        </w:rPr>
        <w:t>450</w:t>
      </w:r>
      <w:r>
        <w:rPr>
          <w:rFonts w:hint="eastAsia" w:ascii="宋体" w:hAnsi="宋体" w:cs="宋体"/>
          <w:color w:val="000000" w:themeColor="text1"/>
          <w:kern w:val="0"/>
          <w:sz w:val="24"/>
          <w14:textFill>
            <w14:solidFill>
              <w14:schemeClr w14:val="tx1"/>
            </w14:solidFill>
          </w14:textFill>
        </w:rPr>
        <w:t>分或全国大学英语六级考试成绩达到</w:t>
      </w:r>
      <w:r>
        <w:rPr>
          <w:rFonts w:ascii="宋体" w:hAnsi="宋体" w:cs="宋体"/>
          <w:color w:val="000000" w:themeColor="text1"/>
          <w:kern w:val="0"/>
          <w:sz w:val="24"/>
          <w14:textFill>
            <w14:solidFill>
              <w14:schemeClr w14:val="tx1"/>
            </w14:solidFill>
          </w14:textFill>
        </w:rPr>
        <w:t>425</w:t>
      </w:r>
      <w:r>
        <w:rPr>
          <w:rFonts w:hint="eastAsia" w:ascii="宋体" w:hAnsi="宋体" w:cs="宋体"/>
          <w:color w:val="000000" w:themeColor="text1"/>
          <w:kern w:val="0"/>
          <w:sz w:val="24"/>
          <w14:textFill>
            <w14:solidFill>
              <w14:schemeClr w14:val="tx1"/>
            </w14:solidFill>
          </w14:textFill>
        </w:rPr>
        <w:t>分</w:t>
      </w:r>
      <w:r>
        <w:rPr>
          <w:rFonts w:hint="eastAsia" w:ascii="宋体" w:hAnsi="宋体" w:eastAsia="宋体" w:cs="宋体"/>
          <w:color w:val="000000" w:themeColor="text1"/>
          <w:kern w:val="0"/>
          <w:sz w:val="24"/>
          <w:lang w:eastAsia="zh-CN"/>
          <w14:textFill>
            <w14:solidFill>
              <w14:schemeClr w14:val="tx1"/>
            </w14:solidFill>
          </w14:textFill>
        </w:rPr>
        <w:t>。</w:t>
      </w:r>
      <w:r>
        <w:rPr>
          <w:rFonts w:hint="eastAsia" w:ascii="宋体" w:hAnsi="宋体" w:cs="宋体"/>
          <w:color w:val="000000" w:themeColor="text1"/>
          <w:kern w:val="0"/>
          <w:sz w:val="24"/>
          <w:lang w:eastAsia="zh-CN"/>
          <w14:textFill>
            <w14:solidFill>
              <w14:schemeClr w14:val="tx1"/>
            </w14:solidFill>
          </w14:textFill>
        </w:rPr>
        <w:t>同时</w:t>
      </w:r>
      <w:r>
        <w:rPr>
          <w:rFonts w:hint="eastAsia" w:ascii="宋体" w:hAnsi="宋体" w:cs="宋体"/>
          <w:color w:val="000000" w:themeColor="text1"/>
          <w:kern w:val="0"/>
          <w:sz w:val="24"/>
          <w14:textFill>
            <w14:solidFill>
              <w14:schemeClr w14:val="tx1"/>
            </w14:solidFill>
          </w14:textFill>
        </w:rPr>
        <w:t>“拔尖人才培育计划”</w:t>
      </w:r>
      <w:r>
        <w:rPr>
          <w:rFonts w:hint="eastAsia" w:ascii="宋体" w:hAnsi="宋体" w:cs="宋体"/>
          <w:color w:val="000000" w:themeColor="text1"/>
          <w:kern w:val="0"/>
          <w:sz w:val="24"/>
          <w:lang w:eastAsia="zh-CN"/>
          <w14:textFill>
            <w14:solidFill>
              <w14:schemeClr w14:val="tx1"/>
            </w14:solidFill>
          </w14:textFill>
        </w:rPr>
        <w:t>也</w:t>
      </w:r>
      <w:r>
        <w:rPr>
          <w:rFonts w:hint="eastAsia" w:ascii="宋体" w:hAnsi="宋体" w:cs="宋体"/>
          <w:color w:val="000000" w:themeColor="text1"/>
          <w:kern w:val="0"/>
          <w:sz w:val="24"/>
          <w14:textFill>
            <w14:solidFill>
              <w14:schemeClr w14:val="tx1"/>
            </w14:solidFill>
          </w14:textFill>
        </w:rPr>
        <w:t>纳入本科生推免工作</w:t>
      </w:r>
      <w:r>
        <w:rPr>
          <w:rFonts w:hint="eastAsia" w:ascii="宋体" w:hAnsi="宋体" w:cs="宋体"/>
          <w:color w:val="000000" w:themeColor="text1"/>
          <w:kern w:val="0"/>
          <w:sz w:val="24"/>
          <w:lang w:eastAsia="zh-CN"/>
          <w14:textFill>
            <w14:solidFill>
              <w14:schemeClr w14:val="tx1"/>
            </w14:solidFill>
          </w14:textFill>
        </w:rPr>
        <w:t>，其选拔条件</w:t>
      </w:r>
      <w:r>
        <w:rPr>
          <w:rFonts w:hint="eastAsia" w:ascii="宋体" w:hAnsi="宋体" w:cs="宋体"/>
          <w:color w:val="000000" w:themeColor="text1"/>
          <w:kern w:val="0"/>
          <w:sz w:val="24"/>
          <w14:textFill>
            <w14:solidFill>
              <w14:schemeClr w14:val="tx1"/>
            </w14:solidFill>
          </w14:textFill>
        </w:rPr>
        <w:t>按照《关于印发《武汉科技大学“拔尖人才培育计划”实施办法》（武科大研发[2021]103号）》文件执行。</w:t>
      </w:r>
    </w:p>
    <w:p>
      <w:pPr>
        <w:widowControl/>
        <w:spacing w:line="440" w:lineRule="exact"/>
        <w:ind w:firstLine="700" w:firstLineChars="292"/>
        <w:jc w:val="left"/>
        <w:rPr>
          <w:rFonts w:hint="eastAsia" w:ascii="宋体" w:hAnsi="宋体" w:eastAsia="宋体" w:cs="宋体"/>
          <w:kern w:val="0"/>
          <w:sz w:val="24"/>
          <w:highlight w:val="yellow"/>
          <w:lang w:eastAsia="zh-CN"/>
        </w:rPr>
      </w:pPr>
    </w:p>
    <w:p>
      <w:pPr>
        <w:widowControl/>
        <w:spacing w:line="440" w:lineRule="exact"/>
        <w:jc w:val="left"/>
        <w:rPr>
          <w:rFonts w:hint="eastAsia" w:ascii="宋体" w:hAnsi="宋体" w:cs="宋体"/>
          <w:kern w:val="0"/>
          <w:sz w:val="24"/>
        </w:rPr>
      </w:pPr>
      <w:r>
        <w:rPr>
          <w:rFonts w:hint="eastAsia" w:ascii="宋体" w:hAnsi="宋体" w:cs="宋体"/>
          <w:kern w:val="0"/>
          <w:sz w:val="24"/>
        </w:rPr>
        <w:t xml:space="preserve">   </w:t>
      </w:r>
      <w:r>
        <w:rPr>
          <w:rFonts w:hint="eastAsia" w:ascii="宋体" w:hAnsi="宋体" w:cs="宋体"/>
          <w:kern w:val="0"/>
          <w:sz w:val="24"/>
          <w:lang w:val="en-US" w:eastAsia="zh-CN"/>
        </w:rPr>
        <w:t xml:space="preserve"> </w:t>
      </w:r>
      <w:r>
        <w:rPr>
          <w:rFonts w:hint="eastAsia" w:ascii="宋体" w:hAnsi="宋体" w:cs="宋体"/>
          <w:kern w:val="0"/>
          <w:sz w:val="24"/>
        </w:rPr>
        <w:t xml:space="preserve"> (三) </w:t>
      </w:r>
      <w:r>
        <w:rPr>
          <w:rFonts w:ascii="宋体" w:hAnsi="宋体" w:cs="宋体"/>
          <w:kern w:val="0"/>
          <w:sz w:val="24"/>
        </w:rPr>
        <w:t>身体健康。</w:t>
      </w:r>
    </w:p>
    <w:p>
      <w:pPr>
        <w:widowControl/>
        <w:spacing w:line="440" w:lineRule="exact"/>
        <w:ind w:firstLine="482" w:firstLineChars="200"/>
        <w:jc w:val="left"/>
        <w:rPr>
          <w:rFonts w:ascii="宋体" w:hAnsi="宋体" w:cs="宋体"/>
          <w:b/>
          <w:kern w:val="0"/>
          <w:sz w:val="24"/>
        </w:rPr>
      </w:pPr>
      <w:r>
        <w:rPr>
          <w:rFonts w:hint="eastAsia" w:ascii="宋体" w:hAnsi="宋体" w:cs="宋体"/>
          <w:b/>
          <w:kern w:val="0"/>
          <w:sz w:val="24"/>
        </w:rPr>
        <w:t xml:space="preserve">三、推免工作程序 </w:t>
      </w:r>
    </w:p>
    <w:p>
      <w:pPr>
        <w:widowControl/>
        <w:spacing w:line="440" w:lineRule="exact"/>
        <w:ind w:firstLine="480" w:firstLineChars="200"/>
        <w:jc w:val="left"/>
        <w:rPr>
          <w:rFonts w:ascii="宋体" w:hAnsi="宋体" w:cs="宋体"/>
          <w:kern w:val="0"/>
          <w:sz w:val="24"/>
        </w:rPr>
      </w:pPr>
      <w:r>
        <w:rPr>
          <w:rFonts w:hint="eastAsia" w:ascii="宋体" w:hAnsi="宋体" w:cs="宋体"/>
          <w:kern w:val="0"/>
          <w:sz w:val="24"/>
        </w:rPr>
        <w:t>(一)</w:t>
      </w:r>
      <w:r>
        <w:rPr>
          <w:rFonts w:ascii="宋体" w:hAnsi="宋体" w:cs="宋体"/>
          <w:kern w:val="0"/>
          <w:sz w:val="24"/>
        </w:rPr>
        <w:t xml:space="preserve"> 学院成立推免工作领导小组，负责学院的推免工作。</w:t>
      </w:r>
    </w:p>
    <w:p>
      <w:pPr>
        <w:widowControl/>
        <w:spacing w:line="360" w:lineRule="auto"/>
        <w:ind w:firstLine="480" w:firstLineChars="200"/>
        <w:jc w:val="left"/>
        <w:rPr>
          <w:rFonts w:ascii="宋体" w:hAnsi="宋体" w:cs="宋体"/>
          <w:kern w:val="0"/>
          <w:sz w:val="24"/>
        </w:rPr>
      </w:pPr>
      <w:r>
        <w:rPr>
          <w:rFonts w:hint="eastAsia" w:ascii="宋体" w:hAnsi="宋体" w:cs="宋体"/>
          <w:kern w:val="0"/>
          <w:sz w:val="24"/>
        </w:rPr>
        <w:t xml:space="preserve">(二) </w:t>
      </w:r>
      <w:r>
        <w:rPr>
          <w:rFonts w:ascii="宋体" w:hAnsi="宋体" w:cs="宋体"/>
          <w:kern w:val="0"/>
          <w:sz w:val="24"/>
        </w:rPr>
        <w:t>学生本人</w:t>
      </w:r>
      <w:r>
        <w:rPr>
          <w:rFonts w:hint="eastAsia" w:ascii="宋体" w:hAnsi="宋体" w:cs="宋体"/>
          <w:kern w:val="0"/>
          <w:sz w:val="24"/>
        </w:rPr>
        <w:t>提出</w:t>
      </w:r>
      <w:r>
        <w:rPr>
          <w:rFonts w:ascii="宋体" w:hAnsi="宋体" w:cs="宋体"/>
          <w:kern w:val="0"/>
          <w:sz w:val="24"/>
        </w:rPr>
        <w:t>申请</w:t>
      </w:r>
      <w:r>
        <w:rPr>
          <w:rFonts w:hint="eastAsia" w:ascii="宋体" w:hAnsi="宋体" w:cs="宋体"/>
          <w:kern w:val="0"/>
          <w:sz w:val="24"/>
        </w:rPr>
        <w:t>，</w:t>
      </w:r>
      <w:r>
        <w:rPr>
          <w:rFonts w:ascii="宋体" w:hAnsi="宋体" w:cs="宋体"/>
          <w:kern w:val="0"/>
          <w:sz w:val="24"/>
        </w:rPr>
        <w:t>填写《武汉科技大学优秀本科毕业生免试攻读硕士研究生申请表》</w:t>
      </w:r>
      <w:r>
        <w:rPr>
          <w:rFonts w:hint="eastAsia" w:ascii="宋体" w:hAnsi="宋体" w:cs="宋体"/>
          <w:kern w:val="0"/>
          <w:sz w:val="24"/>
        </w:rPr>
        <w:t>并交所在学院，同时</w:t>
      </w:r>
      <w:r>
        <w:rPr>
          <w:rFonts w:ascii="宋体" w:hAnsi="宋体" w:cs="宋体"/>
          <w:kern w:val="0"/>
          <w:sz w:val="24"/>
        </w:rPr>
        <w:t>提交</w:t>
      </w:r>
      <w:r>
        <w:rPr>
          <w:rFonts w:hint="eastAsia" w:ascii="宋体" w:hAnsi="宋体" w:cs="宋体"/>
          <w:kern w:val="0"/>
          <w:sz w:val="24"/>
        </w:rPr>
        <w:t>专业成绩单、英语等级证书及相关科研成果、竞赛奖励的</w:t>
      </w:r>
      <w:r>
        <w:rPr>
          <w:rFonts w:ascii="宋体" w:hAnsi="宋体" w:cs="宋体"/>
          <w:kern w:val="0"/>
          <w:sz w:val="24"/>
        </w:rPr>
        <w:t>原件和复印件</w:t>
      </w:r>
      <w:r>
        <w:rPr>
          <w:rFonts w:hint="eastAsia" w:ascii="宋体" w:hAnsi="宋体" w:cs="宋体"/>
          <w:kern w:val="0"/>
          <w:sz w:val="24"/>
        </w:rPr>
        <w:t>等支撑</w:t>
      </w:r>
      <w:r>
        <w:rPr>
          <w:rFonts w:ascii="宋体" w:hAnsi="宋体" w:cs="宋体"/>
          <w:kern w:val="0"/>
          <w:sz w:val="24"/>
        </w:rPr>
        <w:t>材料。</w:t>
      </w:r>
    </w:p>
    <w:p>
      <w:pPr>
        <w:widowControl/>
        <w:spacing w:line="360" w:lineRule="auto"/>
        <w:ind w:firstLine="420" w:firstLineChars="175"/>
        <w:jc w:val="left"/>
        <w:rPr>
          <w:rFonts w:ascii="宋体" w:hAnsi="宋体" w:cs="宋体"/>
          <w:kern w:val="0"/>
          <w:sz w:val="24"/>
        </w:rPr>
      </w:pPr>
      <w:r>
        <w:rPr>
          <w:rFonts w:hint="eastAsia" w:ascii="宋体" w:hAnsi="宋体" w:cs="宋体"/>
          <w:kern w:val="0"/>
          <w:sz w:val="24"/>
        </w:rPr>
        <w:t xml:space="preserve"> (三) 学</w:t>
      </w:r>
      <w:r>
        <w:rPr>
          <w:rFonts w:ascii="宋体" w:hAnsi="宋体" w:cs="宋体"/>
          <w:kern w:val="0"/>
          <w:sz w:val="24"/>
        </w:rPr>
        <w:t>院</w:t>
      </w:r>
      <w:r>
        <w:rPr>
          <w:rFonts w:hint="eastAsia" w:ascii="宋体" w:hAnsi="宋体" w:cs="宋体"/>
          <w:kern w:val="0"/>
          <w:sz w:val="24"/>
        </w:rPr>
        <w:t>根据学校推免条件和学院推免工作实施细则，</w:t>
      </w:r>
      <w:r>
        <w:rPr>
          <w:rFonts w:ascii="宋体" w:hAnsi="宋体" w:cs="宋体"/>
          <w:kern w:val="0"/>
          <w:sz w:val="24"/>
        </w:rPr>
        <w:t>做好</w:t>
      </w:r>
      <w:r>
        <w:rPr>
          <w:rFonts w:hint="eastAsia" w:ascii="宋体" w:hAnsi="宋体" w:cs="宋体"/>
          <w:kern w:val="0"/>
          <w:sz w:val="24"/>
        </w:rPr>
        <w:t>学生成绩、成果证书</w:t>
      </w:r>
      <w:r>
        <w:rPr>
          <w:rFonts w:ascii="宋体" w:hAnsi="宋体" w:cs="宋体"/>
          <w:kern w:val="0"/>
          <w:sz w:val="24"/>
        </w:rPr>
        <w:t>等有关材料的审核</w:t>
      </w:r>
      <w:r>
        <w:rPr>
          <w:rFonts w:hint="eastAsia" w:ascii="宋体" w:hAnsi="宋体" w:cs="宋体"/>
          <w:kern w:val="0"/>
          <w:sz w:val="24"/>
        </w:rPr>
        <w:t>认定。</w:t>
      </w:r>
    </w:p>
    <w:p>
      <w:pPr>
        <w:widowControl/>
        <w:spacing w:line="440" w:lineRule="exact"/>
        <w:ind w:firstLine="460" w:firstLineChars="192"/>
        <w:jc w:val="left"/>
        <w:rPr>
          <w:rFonts w:ascii="宋体" w:hAnsi="宋体" w:cs="宋体"/>
          <w:kern w:val="0"/>
          <w:sz w:val="24"/>
        </w:rPr>
      </w:pPr>
      <w:r>
        <w:rPr>
          <w:rFonts w:hint="eastAsia" w:ascii="宋体" w:hAnsi="宋体" w:cs="宋体"/>
          <w:kern w:val="0"/>
          <w:sz w:val="24"/>
        </w:rPr>
        <w:t>(四) 学院结合</w:t>
      </w:r>
      <w:r>
        <w:rPr>
          <w:rFonts w:ascii="宋体" w:hAnsi="宋体" w:cs="宋体"/>
          <w:kern w:val="0"/>
          <w:sz w:val="24"/>
        </w:rPr>
        <w:t>学校</w:t>
      </w:r>
      <w:r>
        <w:rPr>
          <w:rFonts w:hint="eastAsia" w:ascii="宋体" w:hAnsi="宋体" w:cs="宋体"/>
          <w:kern w:val="0"/>
          <w:sz w:val="24"/>
        </w:rPr>
        <w:t>分配</w:t>
      </w:r>
      <w:r>
        <w:rPr>
          <w:rFonts w:ascii="宋体" w:hAnsi="宋体" w:cs="宋体"/>
          <w:kern w:val="0"/>
          <w:sz w:val="24"/>
        </w:rPr>
        <w:t>的</w:t>
      </w:r>
      <w:r>
        <w:rPr>
          <w:rFonts w:hint="eastAsia" w:ascii="宋体" w:hAnsi="宋体" w:cs="宋体"/>
          <w:kern w:val="0"/>
          <w:sz w:val="24"/>
        </w:rPr>
        <w:t>推免</w:t>
      </w:r>
      <w:r>
        <w:rPr>
          <w:rFonts w:ascii="宋体" w:hAnsi="宋体" w:cs="宋体"/>
          <w:kern w:val="0"/>
          <w:sz w:val="24"/>
        </w:rPr>
        <w:t>名额</w:t>
      </w:r>
      <w:r>
        <w:rPr>
          <w:rFonts w:hint="eastAsia" w:ascii="宋体" w:hAnsi="宋体" w:cs="宋体"/>
          <w:kern w:val="0"/>
          <w:sz w:val="24"/>
        </w:rPr>
        <w:t>，通过集体研究讨论</w:t>
      </w:r>
      <w:r>
        <w:rPr>
          <w:rFonts w:ascii="宋体" w:hAnsi="宋体" w:cs="宋体"/>
          <w:kern w:val="0"/>
          <w:sz w:val="24"/>
        </w:rPr>
        <w:t>提出</w:t>
      </w:r>
      <w:r>
        <w:rPr>
          <w:rFonts w:hint="eastAsia" w:ascii="宋体" w:hAnsi="宋体" w:cs="宋体"/>
          <w:kern w:val="0"/>
          <w:sz w:val="24"/>
        </w:rPr>
        <w:t>本院拟推免学生</w:t>
      </w:r>
      <w:r>
        <w:rPr>
          <w:rFonts w:ascii="宋体" w:hAnsi="宋体" w:cs="宋体"/>
          <w:kern w:val="0"/>
          <w:sz w:val="24"/>
        </w:rPr>
        <w:t>名单</w:t>
      </w:r>
      <w:r>
        <w:rPr>
          <w:rFonts w:hint="eastAsia" w:ascii="宋体" w:hAnsi="宋体" w:cs="宋体"/>
          <w:kern w:val="0"/>
          <w:sz w:val="24"/>
        </w:rPr>
        <w:t>，并公示3天</w:t>
      </w:r>
      <w:r>
        <w:rPr>
          <w:rFonts w:ascii="宋体" w:hAnsi="宋体" w:cs="宋体"/>
          <w:kern w:val="0"/>
          <w:sz w:val="24"/>
        </w:rPr>
        <w:t>；对有异议的学生进行调查核实，如发现弄虚作假者，取消其推免生资格</w:t>
      </w:r>
      <w:r>
        <w:rPr>
          <w:rFonts w:hint="eastAsia" w:ascii="宋体" w:hAnsi="宋体" w:cs="宋体"/>
          <w:kern w:val="0"/>
          <w:sz w:val="24"/>
        </w:rPr>
        <w:t>；</w:t>
      </w:r>
      <w:r>
        <w:rPr>
          <w:rFonts w:ascii="宋体" w:hAnsi="宋体" w:cs="宋体"/>
          <w:kern w:val="0"/>
          <w:sz w:val="24"/>
        </w:rPr>
        <w:t>公示结束后，</w:t>
      </w:r>
      <w:r>
        <w:rPr>
          <w:rFonts w:hint="eastAsia" w:ascii="宋体" w:hAnsi="宋体" w:cs="宋体"/>
          <w:kern w:val="0"/>
          <w:sz w:val="24"/>
        </w:rPr>
        <w:t>如无异议，学院按有关规定将</w:t>
      </w:r>
      <w:r>
        <w:rPr>
          <w:rFonts w:ascii="宋体" w:hAnsi="宋体" w:cs="宋体"/>
          <w:kern w:val="0"/>
          <w:sz w:val="24"/>
        </w:rPr>
        <w:t>名单</w:t>
      </w:r>
      <w:r>
        <w:rPr>
          <w:rFonts w:hint="eastAsia" w:ascii="宋体" w:hAnsi="宋体" w:cs="宋体"/>
          <w:kern w:val="0"/>
          <w:sz w:val="24"/>
        </w:rPr>
        <w:t>上报教务处。</w:t>
      </w:r>
    </w:p>
    <w:p>
      <w:pPr>
        <w:widowControl/>
        <w:spacing w:line="360" w:lineRule="auto"/>
        <w:ind w:firstLine="570"/>
        <w:jc w:val="left"/>
        <w:rPr>
          <w:rFonts w:ascii="宋体" w:hAnsi="宋体" w:cs="宋体"/>
          <w:kern w:val="0"/>
          <w:sz w:val="24"/>
        </w:rPr>
      </w:pPr>
      <w:r>
        <w:rPr>
          <w:rFonts w:hint="eastAsia" w:ascii="宋体" w:hAnsi="宋体" w:cs="宋体"/>
          <w:kern w:val="0"/>
          <w:sz w:val="24"/>
        </w:rPr>
        <w:t xml:space="preserve">(五) </w:t>
      </w:r>
      <w:r>
        <w:rPr>
          <w:rFonts w:ascii="宋体" w:hAnsi="宋体" w:cs="宋体"/>
          <w:kern w:val="0"/>
          <w:sz w:val="24"/>
        </w:rPr>
        <w:t>推免生的选拔工作</w:t>
      </w:r>
      <w:r>
        <w:rPr>
          <w:rFonts w:hint="eastAsia" w:ascii="宋体" w:hAnsi="宋体" w:cs="宋体"/>
          <w:kern w:val="0"/>
          <w:sz w:val="24"/>
        </w:rPr>
        <w:t>接受学院纪委监督，监督电话：6886287</w:t>
      </w:r>
      <w:r>
        <w:rPr>
          <w:rFonts w:hint="eastAsia" w:ascii="宋体" w:hAnsi="宋体" w:cs="宋体"/>
          <w:kern w:val="0"/>
          <w:sz w:val="24"/>
          <w:lang w:val="en-US" w:eastAsia="zh-CN"/>
        </w:rPr>
        <w:t>7</w:t>
      </w:r>
      <w:r>
        <w:rPr>
          <w:rFonts w:hint="eastAsia" w:ascii="宋体" w:hAnsi="宋体" w:cs="宋体"/>
          <w:kern w:val="0"/>
          <w:sz w:val="24"/>
        </w:rPr>
        <w:t>。</w:t>
      </w:r>
    </w:p>
    <w:p>
      <w:pPr>
        <w:widowControl/>
        <w:spacing w:line="440" w:lineRule="exact"/>
        <w:ind w:firstLine="463" w:firstLineChars="192"/>
        <w:jc w:val="left"/>
        <w:rPr>
          <w:rFonts w:ascii="宋体" w:hAnsi="宋体" w:cs="宋体"/>
          <w:b/>
          <w:bCs/>
          <w:kern w:val="0"/>
          <w:sz w:val="24"/>
        </w:rPr>
      </w:pPr>
      <w:r>
        <w:rPr>
          <w:rFonts w:hint="eastAsia" w:ascii="宋体" w:hAnsi="宋体" w:cs="宋体"/>
          <w:b/>
          <w:bCs/>
          <w:kern w:val="0"/>
          <w:sz w:val="24"/>
        </w:rPr>
        <w:t>四、综合成绩计分原则</w:t>
      </w:r>
    </w:p>
    <w:p>
      <w:pPr>
        <w:widowControl/>
        <w:spacing w:line="440" w:lineRule="exact"/>
        <w:ind w:firstLine="480" w:firstLineChars="200"/>
        <w:jc w:val="left"/>
        <w:rPr>
          <w:rFonts w:ascii="宋体" w:hAnsi="宋体" w:cs="宋体"/>
          <w:kern w:val="0"/>
          <w:sz w:val="24"/>
        </w:rPr>
      </w:pPr>
      <w:r>
        <w:rPr>
          <w:rFonts w:hint="eastAsia" w:ascii="宋体" w:hAnsi="宋体" w:cs="宋体"/>
          <w:kern w:val="0"/>
          <w:sz w:val="24"/>
        </w:rPr>
        <w:t>根据学校《关于做好推荐202</w:t>
      </w:r>
      <w:r>
        <w:rPr>
          <w:rFonts w:hint="eastAsia" w:ascii="宋体" w:hAnsi="宋体" w:cs="宋体"/>
          <w:kern w:val="0"/>
          <w:sz w:val="24"/>
          <w:lang w:val="en-US" w:eastAsia="zh-CN"/>
        </w:rPr>
        <w:t>3</w:t>
      </w:r>
      <w:r>
        <w:rPr>
          <w:rFonts w:hint="eastAsia" w:ascii="宋体" w:hAnsi="宋体" w:cs="宋体"/>
          <w:kern w:val="0"/>
          <w:sz w:val="24"/>
        </w:rPr>
        <w:t>届优秀应届本科毕业生免试攻读硕士学位研究生的通知》的要求，将学科和科技竞赛获奖、科研成果等纳入综合成绩评价体系。学生综合成绩包括平均学分绩点、创新奖励分两个方面（奖励分值请见表1和表2）。平均学分绩点按照该生</w:t>
      </w:r>
      <w:r>
        <w:rPr>
          <w:rFonts w:hint="eastAsia" w:ascii="宋体" w:hAnsi="宋体" w:cs="宋体"/>
          <w:kern w:val="0"/>
          <w:sz w:val="24"/>
          <w:lang w:eastAsia="zh-CN"/>
        </w:rPr>
        <w:t>在校</w:t>
      </w:r>
      <w:r>
        <w:rPr>
          <w:rFonts w:hint="eastAsia" w:ascii="宋体" w:hAnsi="宋体" w:cs="宋体"/>
          <w:kern w:val="0"/>
          <w:sz w:val="24"/>
        </w:rPr>
        <w:t>期间</w:t>
      </w:r>
      <w:r>
        <w:rPr>
          <w:rFonts w:hint="eastAsia" w:ascii="宋体" w:hAnsi="宋体" w:cs="宋体"/>
          <w:kern w:val="0"/>
          <w:sz w:val="24"/>
          <w:lang w:val="en-US" w:eastAsia="zh-CN"/>
        </w:rPr>
        <w:t>本科教务系统导出的成绩单上所显示的主修专业</w:t>
      </w:r>
      <w:r>
        <w:rPr>
          <w:rFonts w:hint="eastAsia" w:ascii="宋体" w:hAnsi="宋体" w:cs="宋体"/>
          <w:kern w:val="0"/>
          <w:sz w:val="24"/>
        </w:rPr>
        <w:t>平均学分绩点</w:t>
      </w:r>
      <w:r>
        <w:rPr>
          <w:rFonts w:hint="eastAsia" w:ascii="宋体" w:hAnsi="宋体" w:cs="宋体"/>
          <w:kern w:val="0"/>
          <w:sz w:val="24"/>
          <w:lang w:eastAsia="zh-CN"/>
        </w:rPr>
        <w:t>统</w:t>
      </w:r>
      <w:r>
        <w:rPr>
          <w:rFonts w:hint="eastAsia" w:ascii="宋体" w:hAnsi="宋体" w:cs="宋体"/>
          <w:kern w:val="0"/>
          <w:sz w:val="24"/>
        </w:rPr>
        <w:t>计，创新奖励分上限分数为0.4分。</w:t>
      </w:r>
    </w:p>
    <w:p>
      <w:pPr>
        <w:widowControl/>
        <w:spacing w:line="440" w:lineRule="exact"/>
        <w:ind w:firstLine="482" w:firstLineChars="200"/>
        <w:rPr>
          <w:rFonts w:ascii="宋体" w:hAnsi="宋体" w:cs="宋体"/>
          <w:b/>
          <w:bCs/>
          <w:kern w:val="0"/>
          <w:sz w:val="24"/>
        </w:rPr>
      </w:pPr>
      <w:r>
        <w:rPr>
          <w:rFonts w:hint="eastAsia" w:ascii="宋体" w:hAnsi="宋体" w:cs="宋体"/>
          <w:b/>
          <w:bCs/>
          <w:kern w:val="0"/>
          <w:sz w:val="24"/>
        </w:rPr>
        <w:t>综合成绩=平均学分绩点+创新奖励分</w:t>
      </w:r>
    </w:p>
    <w:p>
      <w:pPr>
        <w:pStyle w:val="14"/>
        <w:widowControl/>
        <w:spacing w:line="360" w:lineRule="auto"/>
        <w:ind w:firstLine="480"/>
        <w:rPr>
          <w:rFonts w:ascii="宋体" w:cs="宋体"/>
          <w:kern w:val="0"/>
          <w:sz w:val="24"/>
        </w:rPr>
      </w:pPr>
      <w:r>
        <w:rPr>
          <w:rFonts w:hint="eastAsia" w:ascii="宋体" w:hAnsi="宋体" w:cs="宋体"/>
          <w:kern w:val="0"/>
          <w:sz w:val="24"/>
        </w:rPr>
        <w:t>综合成绩相同时，依次按平均学分绩点、课程平均学分绩、创新奖励分值、英语等级及分数高低进行排序。</w:t>
      </w:r>
    </w:p>
    <w:p>
      <w:pPr>
        <w:widowControl/>
        <w:spacing w:line="400" w:lineRule="exact"/>
        <w:jc w:val="center"/>
        <w:rPr>
          <w:kern w:val="0"/>
          <w:szCs w:val="21"/>
        </w:rPr>
      </w:pPr>
      <w:r>
        <w:rPr>
          <w:kern w:val="0"/>
          <w:szCs w:val="21"/>
        </w:rPr>
        <w:t>表1</w:t>
      </w:r>
      <w:r>
        <w:rPr>
          <w:rFonts w:hint="eastAsia"/>
          <w:kern w:val="0"/>
          <w:szCs w:val="21"/>
        </w:rPr>
        <w:t>学术</w:t>
      </w:r>
      <w:r>
        <w:rPr>
          <w:kern w:val="0"/>
          <w:szCs w:val="21"/>
        </w:rPr>
        <w:t>论文与专利的</w:t>
      </w:r>
      <w:r>
        <w:rPr>
          <w:rFonts w:hint="eastAsia"/>
          <w:kern w:val="0"/>
          <w:szCs w:val="21"/>
        </w:rPr>
        <w:t>创新</w:t>
      </w:r>
      <w:r>
        <w:rPr>
          <w:kern w:val="0"/>
          <w:szCs w:val="21"/>
        </w:rPr>
        <w:t>奖励分</w:t>
      </w:r>
      <w:r>
        <w:rPr>
          <w:rFonts w:hint="eastAsia"/>
          <w:kern w:val="0"/>
          <w:szCs w:val="21"/>
        </w:rPr>
        <w:t>值</w:t>
      </w:r>
      <w:r>
        <w:rPr>
          <w:kern w:val="0"/>
          <w:szCs w:val="21"/>
        </w:rPr>
        <w:t>计算</w:t>
      </w:r>
    </w:p>
    <w:tbl>
      <w:tblPr>
        <w:tblStyle w:val="6"/>
        <w:tblW w:w="0" w:type="auto"/>
        <w:tblInd w:w="4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40"/>
        <w:gridCol w:w="1800"/>
        <w:gridCol w:w="2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 w:hRule="atLeast"/>
        </w:trPr>
        <w:tc>
          <w:tcPr>
            <w:tcW w:w="4140" w:type="dxa"/>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kern w:val="0"/>
                <w:szCs w:val="21"/>
              </w:rPr>
            </w:pPr>
            <w:r>
              <w:rPr>
                <w:kern w:val="0"/>
                <w:szCs w:val="21"/>
              </w:rPr>
              <w:t>类别</w:t>
            </w:r>
          </w:p>
        </w:tc>
        <w:tc>
          <w:tcPr>
            <w:tcW w:w="1800" w:type="dxa"/>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kern w:val="0"/>
                <w:szCs w:val="21"/>
              </w:rPr>
            </w:pPr>
            <w:r>
              <w:rPr>
                <w:kern w:val="0"/>
                <w:szCs w:val="21"/>
              </w:rPr>
              <w:t>排序</w:t>
            </w:r>
          </w:p>
        </w:tc>
        <w:tc>
          <w:tcPr>
            <w:tcW w:w="2700" w:type="dxa"/>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kern w:val="0"/>
                <w:szCs w:val="21"/>
              </w:rPr>
            </w:pPr>
            <w:r>
              <w:rPr>
                <w:rFonts w:hint="eastAsia"/>
                <w:kern w:val="0"/>
                <w:szCs w:val="21"/>
              </w:rPr>
              <w:t>创新</w:t>
            </w:r>
            <w:r>
              <w:rPr>
                <w:kern w:val="0"/>
                <w:szCs w:val="21"/>
              </w:rPr>
              <w:t>奖励分</w:t>
            </w:r>
            <w:r>
              <w:rPr>
                <w:rFonts w:hint="eastAsia"/>
                <w:kern w:val="0"/>
                <w:szCs w:val="21"/>
              </w:rPr>
              <w:t>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trPr>
        <w:tc>
          <w:tcPr>
            <w:tcW w:w="4140" w:type="dxa"/>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kern w:val="0"/>
                <w:szCs w:val="21"/>
              </w:rPr>
            </w:pPr>
            <w:r>
              <w:rPr>
                <w:rFonts w:hint="eastAsia"/>
                <w:kern w:val="0"/>
                <w:szCs w:val="21"/>
              </w:rPr>
              <w:t>A1与A2类期刊</w:t>
            </w:r>
            <w:r>
              <w:rPr>
                <w:kern w:val="0"/>
                <w:szCs w:val="21"/>
              </w:rPr>
              <w:t>论文</w:t>
            </w:r>
          </w:p>
        </w:tc>
        <w:tc>
          <w:tcPr>
            <w:tcW w:w="1800" w:type="dxa"/>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kern w:val="0"/>
                <w:szCs w:val="21"/>
              </w:rPr>
            </w:pPr>
            <w:r>
              <w:rPr>
                <w:kern w:val="0"/>
                <w:szCs w:val="21"/>
              </w:rPr>
              <w:t>排序第一</w:t>
            </w:r>
          </w:p>
        </w:tc>
        <w:tc>
          <w:tcPr>
            <w:tcW w:w="2700" w:type="dxa"/>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kern w:val="0"/>
                <w:szCs w:val="21"/>
              </w:rPr>
            </w:pPr>
            <w:r>
              <w:rPr>
                <w:kern w:val="0"/>
                <w:szCs w:val="21"/>
              </w:rPr>
              <w:t>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4140" w:type="dxa"/>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kern w:val="0"/>
                <w:szCs w:val="21"/>
              </w:rPr>
            </w:pPr>
            <w:r>
              <w:rPr>
                <w:rFonts w:hint="eastAsia"/>
                <w:kern w:val="0"/>
                <w:szCs w:val="21"/>
              </w:rPr>
              <w:t>A3类期刊</w:t>
            </w:r>
            <w:r>
              <w:rPr>
                <w:kern w:val="0"/>
                <w:szCs w:val="21"/>
              </w:rPr>
              <w:t>论文</w:t>
            </w:r>
          </w:p>
        </w:tc>
        <w:tc>
          <w:tcPr>
            <w:tcW w:w="1800" w:type="dxa"/>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kern w:val="0"/>
                <w:szCs w:val="21"/>
              </w:rPr>
            </w:pPr>
            <w:r>
              <w:rPr>
                <w:kern w:val="0"/>
                <w:szCs w:val="21"/>
              </w:rPr>
              <w:t>排序第一</w:t>
            </w:r>
          </w:p>
        </w:tc>
        <w:tc>
          <w:tcPr>
            <w:tcW w:w="2700" w:type="dxa"/>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kern w:val="0"/>
                <w:szCs w:val="21"/>
              </w:rPr>
            </w:pPr>
            <w:r>
              <w:rPr>
                <w:kern w:val="0"/>
                <w:szCs w:val="21"/>
              </w:rPr>
              <w:t>0.</w:t>
            </w:r>
            <w:r>
              <w:rPr>
                <w:rFonts w:hint="eastAsia"/>
                <w:kern w:val="0"/>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140" w:type="dxa"/>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kern w:val="0"/>
                <w:szCs w:val="21"/>
              </w:rPr>
            </w:pPr>
            <w:r>
              <w:rPr>
                <w:rFonts w:hint="eastAsia"/>
                <w:kern w:val="0"/>
                <w:szCs w:val="21"/>
              </w:rPr>
              <w:t>B类期刊</w:t>
            </w:r>
            <w:r>
              <w:rPr>
                <w:kern w:val="0"/>
                <w:szCs w:val="21"/>
              </w:rPr>
              <w:t>论文</w:t>
            </w:r>
          </w:p>
        </w:tc>
        <w:tc>
          <w:tcPr>
            <w:tcW w:w="1800" w:type="dxa"/>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kern w:val="0"/>
                <w:szCs w:val="21"/>
              </w:rPr>
            </w:pPr>
            <w:r>
              <w:rPr>
                <w:kern w:val="0"/>
                <w:szCs w:val="21"/>
              </w:rPr>
              <w:t>排序第一</w:t>
            </w:r>
          </w:p>
        </w:tc>
        <w:tc>
          <w:tcPr>
            <w:tcW w:w="2700" w:type="dxa"/>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kern w:val="0"/>
                <w:szCs w:val="21"/>
              </w:rPr>
            </w:pPr>
            <w:r>
              <w:rPr>
                <w:kern w:val="0"/>
                <w:szCs w:val="21"/>
              </w:rPr>
              <w:t>0.</w:t>
            </w:r>
            <w:r>
              <w:rPr>
                <w:rFonts w:hint="eastAsia"/>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08" w:hRule="atLeast"/>
        </w:trPr>
        <w:tc>
          <w:tcPr>
            <w:tcW w:w="4140" w:type="dxa"/>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kern w:val="0"/>
                <w:szCs w:val="21"/>
              </w:rPr>
            </w:pPr>
            <w:r>
              <w:rPr>
                <w:rFonts w:hint="eastAsia"/>
                <w:kern w:val="0"/>
                <w:szCs w:val="21"/>
              </w:rPr>
              <w:t>C类期刊</w:t>
            </w:r>
            <w:r>
              <w:rPr>
                <w:kern w:val="0"/>
                <w:szCs w:val="21"/>
              </w:rPr>
              <w:t>论文</w:t>
            </w:r>
          </w:p>
        </w:tc>
        <w:tc>
          <w:tcPr>
            <w:tcW w:w="1800" w:type="dxa"/>
            <w:vAlign w:val="center"/>
          </w:tcPr>
          <w:p>
            <w:pPr>
              <w:keepNext w:val="0"/>
              <w:keepLines w:val="0"/>
              <w:pageBreakBefore w:val="0"/>
              <w:kinsoku/>
              <w:wordWrap/>
              <w:overflowPunct/>
              <w:topLinePunct w:val="0"/>
              <w:autoSpaceDE/>
              <w:autoSpaceDN/>
              <w:bidi w:val="0"/>
              <w:adjustRightInd w:val="0"/>
              <w:snapToGrid w:val="0"/>
              <w:spacing w:line="240" w:lineRule="atLeast"/>
              <w:jc w:val="center"/>
              <w:textAlignment w:val="auto"/>
              <w:rPr>
                <w:kern w:val="0"/>
                <w:szCs w:val="21"/>
              </w:rPr>
            </w:pPr>
            <w:r>
              <w:rPr>
                <w:kern w:val="0"/>
                <w:szCs w:val="21"/>
              </w:rPr>
              <w:t>排序第一</w:t>
            </w:r>
          </w:p>
        </w:tc>
        <w:tc>
          <w:tcPr>
            <w:tcW w:w="2700" w:type="dxa"/>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kern w:val="0"/>
                <w:szCs w:val="21"/>
              </w:rPr>
            </w:pPr>
            <w:r>
              <w:rPr>
                <w:kern w:val="0"/>
                <w:szCs w:val="21"/>
              </w:rPr>
              <w:t>0.0</w:t>
            </w:r>
            <w:r>
              <w:rPr>
                <w:rFonts w:hint="eastAsia"/>
                <w:kern w:val="0"/>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140" w:type="dxa"/>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kern w:val="0"/>
                <w:szCs w:val="21"/>
              </w:rPr>
            </w:pPr>
            <w:r>
              <w:rPr>
                <w:kern w:val="0"/>
                <w:szCs w:val="21"/>
              </w:rPr>
              <w:t>发明专利</w:t>
            </w:r>
          </w:p>
        </w:tc>
        <w:tc>
          <w:tcPr>
            <w:tcW w:w="1800" w:type="dxa"/>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kern w:val="0"/>
                <w:szCs w:val="21"/>
              </w:rPr>
            </w:pPr>
            <w:r>
              <w:rPr>
                <w:kern w:val="0"/>
                <w:szCs w:val="21"/>
              </w:rPr>
              <w:t>排序第一</w:t>
            </w:r>
          </w:p>
        </w:tc>
        <w:tc>
          <w:tcPr>
            <w:tcW w:w="2700" w:type="dxa"/>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kern w:val="0"/>
                <w:szCs w:val="21"/>
              </w:rPr>
            </w:pPr>
            <w:r>
              <w:rPr>
                <w:kern w:val="0"/>
                <w:szCs w:val="21"/>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79" w:hRule="atLeast"/>
        </w:trPr>
        <w:tc>
          <w:tcPr>
            <w:tcW w:w="8640" w:type="dxa"/>
            <w:gridSpan w:val="3"/>
          </w:tcPr>
          <w:p>
            <w:pPr>
              <w:keepNext w:val="0"/>
              <w:keepLines w:val="0"/>
              <w:pageBreakBefore w:val="0"/>
              <w:widowControl/>
              <w:kinsoku/>
              <w:wordWrap/>
              <w:overflowPunct/>
              <w:topLinePunct w:val="0"/>
              <w:autoSpaceDE/>
              <w:autoSpaceDN/>
              <w:bidi w:val="0"/>
              <w:adjustRightInd w:val="0"/>
              <w:snapToGrid w:val="0"/>
              <w:spacing w:line="240" w:lineRule="atLeast"/>
              <w:jc w:val="left"/>
              <w:textAlignment w:val="auto"/>
              <w:rPr>
                <w:kern w:val="0"/>
                <w:szCs w:val="21"/>
              </w:rPr>
            </w:pPr>
            <w:r>
              <w:rPr>
                <w:kern w:val="0"/>
                <w:szCs w:val="21"/>
              </w:rPr>
              <w:t>说明：1.</w:t>
            </w:r>
            <w:r>
              <w:rPr>
                <w:rFonts w:hint="eastAsia"/>
                <w:kern w:val="0"/>
                <w:szCs w:val="21"/>
              </w:rPr>
              <w:t>学术</w:t>
            </w:r>
            <w:r>
              <w:rPr>
                <w:kern w:val="0"/>
                <w:szCs w:val="21"/>
              </w:rPr>
              <w:t>论文必须</w:t>
            </w:r>
            <w:r>
              <w:rPr>
                <w:rFonts w:hint="eastAsia"/>
                <w:kern w:val="0"/>
                <w:szCs w:val="21"/>
              </w:rPr>
              <w:t>是正式发表的期刊论文（不含会议论文、录用通知等）；</w:t>
            </w:r>
            <w:r>
              <w:rPr>
                <w:kern w:val="0"/>
                <w:szCs w:val="21"/>
              </w:rPr>
              <w:t>发明专利必须已获授权</w:t>
            </w:r>
            <w:r>
              <w:rPr>
                <w:rFonts w:hint="eastAsia"/>
                <w:kern w:val="0"/>
                <w:szCs w:val="21"/>
              </w:rPr>
              <w:t>；</w:t>
            </w:r>
          </w:p>
          <w:p>
            <w:pPr>
              <w:keepNext w:val="0"/>
              <w:keepLines w:val="0"/>
              <w:pageBreakBefore w:val="0"/>
              <w:widowControl/>
              <w:kinsoku/>
              <w:wordWrap/>
              <w:overflowPunct/>
              <w:topLinePunct w:val="0"/>
              <w:autoSpaceDE/>
              <w:autoSpaceDN/>
              <w:bidi w:val="0"/>
              <w:adjustRightInd w:val="0"/>
              <w:snapToGrid w:val="0"/>
              <w:spacing w:line="240" w:lineRule="atLeast"/>
              <w:jc w:val="left"/>
              <w:textAlignment w:val="auto"/>
              <w:rPr>
                <w:kern w:val="0"/>
                <w:szCs w:val="21"/>
              </w:rPr>
            </w:pPr>
            <w:r>
              <w:rPr>
                <w:rFonts w:hint="eastAsia"/>
                <w:kern w:val="0"/>
                <w:szCs w:val="21"/>
              </w:rPr>
              <w:t>2.论文分类按《武汉科技大学学术期刊分级规定》（武科大科发〔</w:t>
            </w:r>
            <w:r>
              <w:rPr>
                <w:kern w:val="0"/>
                <w:szCs w:val="21"/>
              </w:rPr>
              <w:t>2020</w:t>
            </w:r>
            <w:r>
              <w:rPr>
                <w:rFonts w:hint="eastAsia"/>
                <w:kern w:val="0"/>
                <w:szCs w:val="21"/>
              </w:rPr>
              <w:t>〕</w:t>
            </w:r>
            <w:r>
              <w:rPr>
                <w:kern w:val="0"/>
                <w:szCs w:val="21"/>
              </w:rPr>
              <w:t xml:space="preserve">5 </w:t>
            </w:r>
            <w:r>
              <w:rPr>
                <w:rFonts w:hint="eastAsia"/>
                <w:kern w:val="0"/>
                <w:szCs w:val="21"/>
              </w:rPr>
              <w:t>号）执行；</w:t>
            </w:r>
          </w:p>
          <w:p>
            <w:pPr>
              <w:keepNext w:val="0"/>
              <w:keepLines w:val="0"/>
              <w:pageBreakBefore w:val="0"/>
              <w:widowControl/>
              <w:kinsoku/>
              <w:wordWrap/>
              <w:overflowPunct/>
              <w:topLinePunct w:val="0"/>
              <w:autoSpaceDE/>
              <w:autoSpaceDN/>
              <w:bidi w:val="0"/>
              <w:adjustRightInd w:val="0"/>
              <w:snapToGrid w:val="0"/>
              <w:spacing w:line="240" w:lineRule="atLeast"/>
              <w:jc w:val="left"/>
              <w:textAlignment w:val="auto"/>
              <w:rPr>
                <w:kern w:val="0"/>
                <w:szCs w:val="21"/>
              </w:rPr>
            </w:pPr>
            <w:r>
              <w:rPr>
                <w:rFonts w:hint="eastAsia"/>
                <w:kern w:val="0"/>
                <w:szCs w:val="21"/>
              </w:rPr>
              <w:t>3.</w:t>
            </w:r>
            <w:r>
              <w:rPr>
                <w:kern w:val="0"/>
                <w:szCs w:val="21"/>
              </w:rPr>
              <w:t>论文奖励分只</w:t>
            </w:r>
            <w:r>
              <w:rPr>
                <w:rFonts w:hint="eastAsia"/>
                <w:kern w:val="0"/>
                <w:szCs w:val="21"/>
              </w:rPr>
              <w:t>记</w:t>
            </w:r>
            <w:r>
              <w:rPr>
                <w:kern w:val="0"/>
                <w:szCs w:val="21"/>
              </w:rPr>
              <w:t>第一作者</w:t>
            </w:r>
            <w:r>
              <w:rPr>
                <w:rFonts w:hint="eastAsia"/>
                <w:kern w:val="0"/>
                <w:szCs w:val="21"/>
              </w:rPr>
              <w:t>，且作者单位为武汉科技大学（</w:t>
            </w:r>
            <w:r>
              <w:rPr>
                <w:kern w:val="0"/>
                <w:szCs w:val="21"/>
              </w:rPr>
              <w:t>若指导老师为第一作者，学生为第二作者，视学生为第一作者</w:t>
            </w:r>
            <w:r>
              <w:rPr>
                <w:rFonts w:hint="eastAsia"/>
                <w:kern w:val="0"/>
                <w:szCs w:val="21"/>
              </w:rPr>
              <w:t>）</w:t>
            </w:r>
            <w:r>
              <w:rPr>
                <w:kern w:val="0"/>
                <w:szCs w:val="21"/>
              </w:rPr>
              <w:t>；</w:t>
            </w:r>
          </w:p>
          <w:p>
            <w:pPr>
              <w:keepNext w:val="0"/>
              <w:keepLines w:val="0"/>
              <w:pageBreakBefore w:val="0"/>
              <w:widowControl/>
              <w:kinsoku/>
              <w:wordWrap/>
              <w:overflowPunct/>
              <w:topLinePunct w:val="0"/>
              <w:autoSpaceDE/>
              <w:autoSpaceDN/>
              <w:bidi w:val="0"/>
              <w:adjustRightInd w:val="0"/>
              <w:snapToGrid w:val="0"/>
              <w:spacing w:line="240" w:lineRule="atLeast"/>
              <w:jc w:val="left"/>
              <w:textAlignment w:val="auto"/>
              <w:rPr>
                <w:kern w:val="0"/>
                <w:szCs w:val="21"/>
              </w:rPr>
            </w:pPr>
            <w:r>
              <w:rPr>
                <w:rFonts w:hint="eastAsia"/>
                <w:kern w:val="0"/>
                <w:szCs w:val="21"/>
              </w:rPr>
              <w:t>4.</w:t>
            </w:r>
            <w:r>
              <w:rPr>
                <w:kern w:val="0"/>
                <w:szCs w:val="21"/>
              </w:rPr>
              <w:t>专利奖励分只</w:t>
            </w:r>
            <w:r>
              <w:rPr>
                <w:rFonts w:hint="eastAsia"/>
                <w:kern w:val="0"/>
                <w:szCs w:val="21"/>
              </w:rPr>
              <w:t>记</w:t>
            </w:r>
            <w:r>
              <w:rPr>
                <w:kern w:val="0"/>
                <w:szCs w:val="21"/>
              </w:rPr>
              <w:t>第一</w:t>
            </w:r>
            <w:r>
              <w:rPr>
                <w:rFonts w:hint="eastAsia"/>
                <w:kern w:val="0"/>
                <w:szCs w:val="21"/>
              </w:rPr>
              <w:t>发明人</w:t>
            </w:r>
            <w:r>
              <w:rPr>
                <w:kern w:val="0"/>
                <w:szCs w:val="21"/>
              </w:rPr>
              <w:t>，</w:t>
            </w:r>
            <w:r>
              <w:rPr>
                <w:rFonts w:hint="eastAsia"/>
                <w:kern w:val="0"/>
                <w:szCs w:val="21"/>
              </w:rPr>
              <w:t>且专利权人为武汉科技大学。</w:t>
            </w:r>
          </w:p>
        </w:tc>
      </w:tr>
    </w:tbl>
    <w:p>
      <w:pPr>
        <w:widowControl/>
        <w:spacing w:line="400" w:lineRule="exact"/>
        <w:ind w:firstLine="420" w:firstLineChars="200"/>
        <w:jc w:val="center"/>
        <w:rPr>
          <w:kern w:val="0"/>
          <w:szCs w:val="21"/>
        </w:rPr>
      </w:pPr>
      <w:r>
        <w:rPr>
          <w:kern w:val="0"/>
          <w:szCs w:val="21"/>
        </w:rPr>
        <w:t>表2 各类大学生学科与科技竞赛的</w:t>
      </w:r>
      <w:r>
        <w:rPr>
          <w:rFonts w:hint="eastAsia"/>
          <w:kern w:val="0"/>
          <w:szCs w:val="21"/>
        </w:rPr>
        <w:t>创新</w:t>
      </w:r>
      <w:r>
        <w:rPr>
          <w:kern w:val="0"/>
          <w:szCs w:val="21"/>
        </w:rPr>
        <w:t>奖励分</w:t>
      </w:r>
      <w:r>
        <w:rPr>
          <w:rFonts w:hint="eastAsia"/>
          <w:kern w:val="0"/>
          <w:szCs w:val="21"/>
        </w:rPr>
        <w:t>值</w:t>
      </w:r>
      <w:r>
        <w:rPr>
          <w:kern w:val="0"/>
          <w:szCs w:val="21"/>
        </w:rPr>
        <w:t>计算</w:t>
      </w:r>
    </w:p>
    <w:tbl>
      <w:tblPr>
        <w:tblStyle w:val="6"/>
        <w:tblW w:w="75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8"/>
        <w:gridCol w:w="1165"/>
        <w:gridCol w:w="2467"/>
        <w:gridCol w:w="2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1208" w:type="dxa"/>
            <w:vMerge w:val="restart"/>
            <w:noWrap/>
            <w:vAlign w:val="center"/>
          </w:tcPr>
          <w:p>
            <w:pPr>
              <w:widowControl/>
              <w:adjustRightInd w:val="0"/>
              <w:snapToGrid w:val="0"/>
              <w:spacing w:line="280" w:lineRule="atLeast"/>
              <w:jc w:val="center"/>
              <w:rPr>
                <w:color w:val="000000"/>
                <w:kern w:val="0"/>
                <w:szCs w:val="21"/>
              </w:rPr>
            </w:pPr>
            <w:r>
              <w:rPr>
                <w:color w:val="000000"/>
                <w:kern w:val="0"/>
                <w:szCs w:val="21"/>
              </w:rPr>
              <w:t>类别</w:t>
            </w:r>
          </w:p>
        </w:tc>
        <w:tc>
          <w:tcPr>
            <w:tcW w:w="3632" w:type="dxa"/>
            <w:gridSpan w:val="2"/>
            <w:vMerge w:val="restart"/>
            <w:noWrap/>
            <w:vAlign w:val="center"/>
          </w:tcPr>
          <w:p>
            <w:pPr>
              <w:widowControl/>
              <w:adjustRightInd w:val="0"/>
              <w:snapToGrid w:val="0"/>
              <w:spacing w:line="280" w:lineRule="atLeast"/>
              <w:jc w:val="center"/>
              <w:rPr>
                <w:color w:val="000000"/>
                <w:kern w:val="0"/>
                <w:szCs w:val="21"/>
              </w:rPr>
            </w:pPr>
            <w:r>
              <w:rPr>
                <w:rFonts w:hint="eastAsia"/>
                <w:color w:val="000000"/>
                <w:kern w:val="0"/>
                <w:szCs w:val="21"/>
              </w:rPr>
              <w:t>获奖</w:t>
            </w:r>
            <w:r>
              <w:rPr>
                <w:color w:val="000000"/>
                <w:kern w:val="0"/>
                <w:szCs w:val="21"/>
              </w:rPr>
              <w:t>等级</w:t>
            </w:r>
          </w:p>
        </w:tc>
        <w:tc>
          <w:tcPr>
            <w:tcW w:w="2720" w:type="dxa"/>
            <w:noWrap/>
            <w:vAlign w:val="center"/>
          </w:tcPr>
          <w:p>
            <w:pPr>
              <w:widowControl/>
              <w:adjustRightInd w:val="0"/>
              <w:snapToGrid w:val="0"/>
              <w:spacing w:line="280" w:lineRule="atLeast"/>
              <w:jc w:val="center"/>
              <w:rPr>
                <w:color w:val="000000"/>
                <w:kern w:val="0"/>
                <w:szCs w:val="21"/>
              </w:rPr>
            </w:pPr>
            <w:r>
              <w:rPr>
                <w:rFonts w:hint="eastAsia"/>
                <w:kern w:val="0"/>
                <w:szCs w:val="21"/>
              </w:rPr>
              <w:t>创新</w:t>
            </w:r>
            <w:r>
              <w:rPr>
                <w:kern w:val="0"/>
                <w:szCs w:val="21"/>
              </w:rPr>
              <w:t>奖励分</w:t>
            </w:r>
            <w:r>
              <w:rPr>
                <w:rFonts w:hint="eastAsia"/>
                <w:kern w:val="0"/>
                <w:szCs w:val="21"/>
              </w:rPr>
              <w:t>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 w:hRule="atLeast"/>
          <w:jc w:val="center"/>
        </w:trPr>
        <w:tc>
          <w:tcPr>
            <w:tcW w:w="1208" w:type="dxa"/>
            <w:vMerge w:val="continue"/>
            <w:vAlign w:val="center"/>
          </w:tcPr>
          <w:p>
            <w:pPr>
              <w:widowControl/>
              <w:adjustRightInd w:val="0"/>
              <w:snapToGrid w:val="0"/>
              <w:spacing w:line="280" w:lineRule="atLeast"/>
              <w:jc w:val="center"/>
              <w:rPr>
                <w:color w:val="000000"/>
                <w:kern w:val="0"/>
                <w:szCs w:val="21"/>
              </w:rPr>
            </w:pPr>
          </w:p>
        </w:tc>
        <w:tc>
          <w:tcPr>
            <w:tcW w:w="3632" w:type="dxa"/>
            <w:gridSpan w:val="2"/>
            <w:vMerge w:val="continue"/>
            <w:vAlign w:val="center"/>
          </w:tcPr>
          <w:p>
            <w:pPr>
              <w:widowControl/>
              <w:adjustRightInd w:val="0"/>
              <w:snapToGrid w:val="0"/>
              <w:spacing w:line="280" w:lineRule="atLeast"/>
              <w:jc w:val="center"/>
              <w:rPr>
                <w:color w:val="000000"/>
                <w:kern w:val="0"/>
                <w:szCs w:val="21"/>
              </w:rPr>
            </w:pPr>
          </w:p>
        </w:tc>
        <w:tc>
          <w:tcPr>
            <w:tcW w:w="2720" w:type="dxa"/>
            <w:noWrap/>
            <w:vAlign w:val="center"/>
          </w:tcPr>
          <w:p>
            <w:pPr>
              <w:widowControl/>
              <w:adjustRightInd w:val="0"/>
              <w:snapToGrid w:val="0"/>
              <w:spacing w:line="280" w:lineRule="atLeast"/>
              <w:jc w:val="center"/>
              <w:rPr>
                <w:color w:val="000000"/>
                <w:kern w:val="0"/>
                <w:szCs w:val="21"/>
              </w:rPr>
            </w:pPr>
            <w:r>
              <w:rPr>
                <w:color w:val="000000"/>
                <w:kern w:val="0"/>
                <w:szCs w:val="21"/>
              </w:rPr>
              <w:t>排</w:t>
            </w:r>
            <w:r>
              <w:rPr>
                <w:rFonts w:hint="eastAsia"/>
                <w:color w:val="000000"/>
                <w:kern w:val="0"/>
                <w:szCs w:val="21"/>
              </w:rPr>
              <w:t>序</w:t>
            </w:r>
            <w:r>
              <w:rPr>
                <w:color w:val="000000"/>
                <w:kern w:val="0"/>
                <w:szCs w:val="21"/>
              </w:rPr>
              <w:t>第1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 w:hRule="atLeast"/>
          <w:jc w:val="center"/>
        </w:trPr>
        <w:tc>
          <w:tcPr>
            <w:tcW w:w="1208" w:type="dxa"/>
            <w:vMerge w:val="restart"/>
            <w:noWrap/>
            <w:vAlign w:val="center"/>
          </w:tcPr>
          <w:p>
            <w:pPr>
              <w:widowControl/>
              <w:adjustRightInd w:val="0"/>
              <w:snapToGrid w:val="0"/>
              <w:spacing w:line="280" w:lineRule="atLeast"/>
              <w:jc w:val="center"/>
              <w:rPr>
                <w:color w:val="000000"/>
                <w:kern w:val="0"/>
                <w:szCs w:val="21"/>
              </w:rPr>
            </w:pPr>
            <w:r>
              <w:rPr>
                <w:color w:val="000000"/>
                <w:kern w:val="0"/>
                <w:szCs w:val="21"/>
              </w:rPr>
              <w:t>A</w:t>
            </w:r>
            <w:r>
              <w:rPr>
                <w:rFonts w:hint="eastAsia"/>
                <w:color w:val="000000"/>
                <w:kern w:val="0"/>
                <w:szCs w:val="21"/>
              </w:rPr>
              <w:t>1</w:t>
            </w:r>
            <w:r>
              <w:rPr>
                <w:color w:val="000000"/>
                <w:kern w:val="0"/>
                <w:szCs w:val="21"/>
              </w:rPr>
              <w:t>类竞赛</w:t>
            </w:r>
          </w:p>
        </w:tc>
        <w:tc>
          <w:tcPr>
            <w:tcW w:w="1165" w:type="dxa"/>
            <w:vMerge w:val="restart"/>
            <w:noWrap/>
            <w:vAlign w:val="center"/>
          </w:tcPr>
          <w:p>
            <w:pPr>
              <w:widowControl/>
              <w:adjustRightInd w:val="0"/>
              <w:snapToGrid w:val="0"/>
              <w:spacing w:line="280" w:lineRule="atLeast"/>
              <w:jc w:val="center"/>
              <w:rPr>
                <w:color w:val="000000"/>
                <w:kern w:val="0"/>
                <w:szCs w:val="21"/>
              </w:rPr>
            </w:pPr>
            <w:r>
              <w:rPr>
                <w:color w:val="000000"/>
                <w:kern w:val="0"/>
                <w:szCs w:val="21"/>
              </w:rPr>
              <w:t>国家级</w:t>
            </w:r>
          </w:p>
        </w:tc>
        <w:tc>
          <w:tcPr>
            <w:tcW w:w="2467" w:type="dxa"/>
            <w:vAlign w:val="center"/>
          </w:tcPr>
          <w:p>
            <w:pPr>
              <w:widowControl/>
              <w:adjustRightInd w:val="0"/>
              <w:snapToGrid w:val="0"/>
              <w:spacing w:line="280" w:lineRule="atLeast"/>
              <w:jc w:val="center"/>
              <w:rPr>
                <w:color w:val="000000"/>
                <w:kern w:val="0"/>
                <w:szCs w:val="21"/>
              </w:rPr>
            </w:pPr>
            <w:r>
              <w:rPr>
                <w:color w:val="000000"/>
                <w:kern w:val="0"/>
                <w:szCs w:val="21"/>
              </w:rPr>
              <w:t>一等奖</w:t>
            </w:r>
          </w:p>
        </w:tc>
        <w:tc>
          <w:tcPr>
            <w:tcW w:w="2720" w:type="dxa"/>
            <w:vAlign w:val="center"/>
          </w:tcPr>
          <w:p>
            <w:pPr>
              <w:widowControl/>
              <w:adjustRightInd w:val="0"/>
              <w:snapToGrid w:val="0"/>
              <w:spacing w:line="280" w:lineRule="atLeast"/>
              <w:jc w:val="center"/>
              <w:rPr>
                <w:color w:val="000000"/>
                <w:kern w:val="0"/>
                <w:szCs w:val="21"/>
              </w:rPr>
            </w:pPr>
            <w:r>
              <w:rPr>
                <w:rFonts w:hint="eastAsia"/>
                <w:color w:val="000000"/>
                <w:kern w:val="0"/>
                <w:szCs w:val="21"/>
              </w:rPr>
              <w:t>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 w:hRule="atLeast"/>
          <w:jc w:val="center"/>
        </w:trPr>
        <w:tc>
          <w:tcPr>
            <w:tcW w:w="1208" w:type="dxa"/>
            <w:vMerge w:val="continue"/>
            <w:vAlign w:val="center"/>
          </w:tcPr>
          <w:p>
            <w:pPr>
              <w:widowControl/>
              <w:adjustRightInd w:val="0"/>
              <w:snapToGrid w:val="0"/>
              <w:spacing w:line="280" w:lineRule="atLeast"/>
              <w:jc w:val="center"/>
              <w:rPr>
                <w:color w:val="000000"/>
                <w:kern w:val="0"/>
                <w:szCs w:val="21"/>
              </w:rPr>
            </w:pPr>
          </w:p>
        </w:tc>
        <w:tc>
          <w:tcPr>
            <w:tcW w:w="1165" w:type="dxa"/>
            <w:vMerge w:val="continue"/>
            <w:vAlign w:val="center"/>
          </w:tcPr>
          <w:p>
            <w:pPr>
              <w:widowControl/>
              <w:adjustRightInd w:val="0"/>
              <w:snapToGrid w:val="0"/>
              <w:spacing w:line="280" w:lineRule="atLeast"/>
              <w:jc w:val="center"/>
              <w:rPr>
                <w:color w:val="000000"/>
                <w:kern w:val="0"/>
                <w:szCs w:val="21"/>
              </w:rPr>
            </w:pPr>
          </w:p>
        </w:tc>
        <w:tc>
          <w:tcPr>
            <w:tcW w:w="2467" w:type="dxa"/>
            <w:vAlign w:val="center"/>
          </w:tcPr>
          <w:p>
            <w:pPr>
              <w:widowControl/>
              <w:adjustRightInd w:val="0"/>
              <w:snapToGrid w:val="0"/>
              <w:spacing w:line="280" w:lineRule="atLeast"/>
              <w:jc w:val="center"/>
              <w:rPr>
                <w:color w:val="000000"/>
                <w:kern w:val="0"/>
                <w:szCs w:val="21"/>
              </w:rPr>
            </w:pPr>
            <w:r>
              <w:rPr>
                <w:color w:val="000000"/>
                <w:kern w:val="0"/>
                <w:szCs w:val="21"/>
              </w:rPr>
              <w:t>二等奖</w:t>
            </w:r>
          </w:p>
        </w:tc>
        <w:tc>
          <w:tcPr>
            <w:tcW w:w="2720" w:type="dxa"/>
            <w:vAlign w:val="center"/>
          </w:tcPr>
          <w:p>
            <w:pPr>
              <w:widowControl/>
              <w:adjustRightInd w:val="0"/>
              <w:snapToGrid w:val="0"/>
              <w:spacing w:line="280" w:lineRule="atLeast"/>
              <w:jc w:val="center"/>
              <w:rPr>
                <w:color w:val="000000"/>
                <w:kern w:val="0"/>
                <w:szCs w:val="21"/>
              </w:rPr>
            </w:pPr>
            <w:r>
              <w:rPr>
                <w:rFonts w:hint="eastAsia"/>
                <w:color w:val="000000"/>
                <w:kern w:val="0"/>
                <w:szCs w:val="21"/>
              </w:rPr>
              <w:t>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 w:hRule="atLeast"/>
          <w:jc w:val="center"/>
        </w:trPr>
        <w:tc>
          <w:tcPr>
            <w:tcW w:w="1208" w:type="dxa"/>
            <w:vMerge w:val="continue"/>
            <w:vAlign w:val="center"/>
          </w:tcPr>
          <w:p>
            <w:pPr>
              <w:widowControl/>
              <w:adjustRightInd w:val="0"/>
              <w:snapToGrid w:val="0"/>
              <w:spacing w:line="280" w:lineRule="atLeast"/>
              <w:jc w:val="center"/>
              <w:rPr>
                <w:color w:val="000000"/>
                <w:kern w:val="0"/>
                <w:szCs w:val="21"/>
              </w:rPr>
            </w:pPr>
          </w:p>
        </w:tc>
        <w:tc>
          <w:tcPr>
            <w:tcW w:w="1165" w:type="dxa"/>
            <w:vMerge w:val="continue"/>
            <w:vAlign w:val="center"/>
          </w:tcPr>
          <w:p>
            <w:pPr>
              <w:widowControl/>
              <w:adjustRightInd w:val="0"/>
              <w:snapToGrid w:val="0"/>
              <w:spacing w:line="280" w:lineRule="atLeast"/>
              <w:jc w:val="center"/>
              <w:rPr>
                <w:color w:val="000000"/>
                <w:kern w:val="0"/>
                <w:szCs w:val="21"/>
              </w:rPr>
            </w:pPr>
          </w:p>
        </w:tc>
        <w:tc>
          <w:tcPr>
            <w:tcW w:w="2467" w:type="dxa"/>
            <w:vAlign w:val="center"/>
          </w:tcPr>
          <w:p>
            <w:pPr>
              <w:widowControl/>
              <w:adjustRightInd w:val="0"/>
              <w:snapToGrid w:val="0"/>
              <w:spacing w:line="280" w:lineRule="atLeast"/>
              <w:jc w:val="center"/>
              <w:rPr>
                <w:color w:val="000000"/>
                <w:kern w:val="0"/>
                <w:szCs w:val="21"/>
              </w:rPr>
            </w:pPr>
            <w:r>
              <w:rPr>
                <w:color w:val="000000"/>
                <w:kern w:val="0"/>
                <w:szCs w:val="21"/>
              </w:rPr>
              <w:t>三等奖</w:t>
            </w:r>
          </w:p>
        </w:tc>
        <w:tc>
          <w:tcPr>
            <w:tcW w:w="2720" w:type="dxa"/>
            <w:vAlign w:val="center"/>
          </w:tcPr>
          <w:p>
            <w:pPr>
              <w:widowControl/>
              <w:adjustRightInd w:val="0"/>
              <w:snapToGrid w:val="0"/>
              <w:spacing w:line="280" w:lineRule="atLeast"/>
              <w:jc w:val="center"/>
              <w:rPr>
                <w:color w:val="000000"/>
                <w:kern w:val="0"/>
                <w:szCs w:val="21"/>
              </w:rPr>
            </w:pPr>
            <w:r>
              <w:rPr>
                <w:rFonts w:hint="eastAsia"/>
                <w:color w:val="000000"/>
                <w:kern w:val="0"/>
                <w:szCs w:val="21"/>
              </w:rPr>
              <w:t>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jc w:val="center"/>
        </w:trPr>
        <w:tc>
          <w:tcPr>
            <w:tcW w:w="1208" w:type="dxa"/>
            <w:vMerge w:val="continue"/>
            <w:vAlign w:val="center"/>
          </w:tcPr>
          <w:p>
            <w:pPr>
              <w:widowControl/>
              <w:adjustRightInd w:val="0"/>
              <w:snapToGrid w:val="0"/>
              <w:spacing w:line="280" w:lineRule="atLeast"/>
              <w:jc w:val="center"/>
              <w:rPr>
                <w:color w:val="000000"/>
                <w:kern w:val="0"/>
                <w:szCs w:val="21"/>
              </w:rPr>
            </w:pPr>
          </w:p>
        </w:tc>
        <w:tc>
          <w:tcPr>
            <w:tcW w:w="1165" w:type="dxa"/>
            <w:vMerge w:val="restart"/>
            <w:noWrap/>
            <w:vAlign w:val="center"/>
          </w:tcPr>
          <w:p>
            <w:pPr>
              <w:widowControl/>
              <w:adjustRightInd w:val="0"/>
              <w:snapToGrid w:val="0"/>
              <w:spacing w:line="280" w:lineRule="atLeast"/>
              <w:jc w:val="center"/>
              <w:rPr>
                <w:color w:val="000000"/>
                <w:kern w:val="0"/>
                <w:szCs w:val="21"/>
              </w:rPr>
            </w:pPr>
            <w:r>
              <w:rPr>
                <w:color w:val="000000"/>
                <w:kern w:val="0"/>
                <w:szCs w:val="21"/>
              </w:rPr>
              <w:t>省级</w:t>
            </w:r>
          </w:p>
        </w:tc>
        <w:tc>
          <w:tcPr>
            <w:tcW w:w="2467" w:type="dxa"/>
            <w:vAlign w:val="center"/>
          </w:tcPr>
          <w:p>
            <w:pPr>
              <w:widowControl/>
              <w:adjustRightInd w:val="0"/>
              <w:snapToGrid w:val="0"/>
              <w:spacing w:line="280" w:lineRule="atLeast"/>
              <w:jc w:val="center"/>
              <w:rPr>
                <w:color w:val="000000"/>
                <w:kern w:val="0"/>
                <w:szCs w:val="21"/>
              </w:rPr>
            </w:pPr>
            <w:r>
              <w:rPr>
                <w:color w:val="000000"/>
                <w:kern w:val="0"/>
                <w:szCs w:val="21"/>
              </w:rPr>
              <w:t>一等奖</w:t>
            </w:r>
          </w:p>
        </w:tc>
        <w:tc>
          <w:tcPr>
            <w:tcW w:w="2720" w:type="dxa"/>
            <w:vAlign w:val="center"/>
          </w:tcPr>
          <w:p>
            <w:pPr>
              <w:widowControl/>
              <w:adjustRightInd w:val="0"/>
              <w:snapToGrid w:val="0"/>
              <w:spacing w:line="280" w:lineRule="atLeast"/>
              <w:jc w:val="center"/>
              <w:rPr>
                <w:color w:val="000000"/>
                <w:kern w:val="0"/>
                <w:szCs w:val="21"/>
              </w:rPr>
            </w:pPr>
            <w:r>
              <w:rPr>
                <w:rFonts w:hint="eastAsia"/>
                <w:color w:val="000000"/>
                <w:kern w:val="0"/>
                <w:szCs w:val="21"/>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jc w:val="center"/>
        </w:trPr>
        <w:tc>
          <w:tcPr>
            <w:tcW w:w="1208" w:type="dxa"/>
            <w:vMerge w:val="continue"/>
            <w:vAlign w:val="center"/>
          </w:tcPr>
          <w:p>
            <w:pPr>
              <w:widowControl/>
              <w:adjustRightInd w:val="0"/>
              <w:snapToGrid w:val="0"/>
              <w:spacing w:line="280" w:lineRule="atLeast"/>
              <w:jc w:val="center"/>
              <w:rPr>
                <w:color w:val="000000"/>
                <w:kern w:val="0"/>
                <w:szCs w:val="21"/>
              </w:rPr>
            </w:pPr>
          </w:p>
        </w:tc>
        <w:tc>
          <w:tcPr>
            <w:tcW w:w="1165" w:type="dxa"/>
            <w:vMerge w:val="continue"/>
            <w:vAlign w:val="center"/>
          </w:tcPr>
          <w:p>
            <w:pPr>
              <w:widowControl/>
              <w:adjustRightInd w:val="0"/>
              <w:snapToGrid w:val="0"/>
              <w:spacing w:line="280" w:lineRule="atLeast"/>
              <w:jc w:val="center"/>
              <w:rPr>
                <w:color w:val="000000"/>
                <w:kern w:val="0"/>
                <w:szCs w:val="21"/>
              </w:rPr>
            </w:pPr>
          </w:p>
        </w:tc>
        <w:tc>
          <w:tcPr>
            <w:tcW w:w="2467" w:type="dxa"/>
            <w:vAlign w:val="center"/>
          </w:tcPr>
          <w:p>
            <w:pPr>
              <w:widowControl/>
              <w:adjustRightInd w:val="0"/>
              <w:snapToGrid w:val="0"/>
              <w:spacing w:line="280" w:lineRule="atLeast"/>
              <w:jc w:val="center"/>
              <w:rPr>
                <w:color w:val="000000"/>
                <w:kern w:val="0"/>
                <w:szCs w:val="21"/>
              </w:rPr>
            </w:pPr>
            <w:r>
              <w:rPr>
                <w:color w:val="000000"/>
                <w:kern w:val="0"/>
                <w:szCs w:val="21"/>
              </w:rPr>
              <w:t>二等奖</w:t>
            </w:r>
          </w:p>
        </w:tc>
        <w:tc>
          <w:tcPr>
            <w:tcW w:w="2720" w:type="dxa"/>
            <w:vAlign w:val="center"/>
          </w:tcPr>
          <w:p>
            <w:pPr>
              <w:widowControl/>
              <w:adjustRightInd w:val="0"/>
              <w:snapToGrid w:val="0"/>
              <w:spacing w:line="280" w:lineRule="atLeast"/>
              <w:jc w:val="center"/>
              <w:rPr>
                <w:color w:val="000000"/>
                <w:kern w:val="0"/>
                <w:szCs w:val="21"/>
              </w:rPr>
            </w:pPr>
            <w:r>
              <w:rPr>
                <w:rFonts w:hint="eastAsia"/>
                <w:color w:val="000000"/>
                <w:kern w:val="0"/>
                <w:szCs w:val="21"/>
              </w:rPr>
              <w:t>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 w:hRule="atLeast"/>
          <w:jc w:val="center"/>
        </w:trPr>
        <w:tc>
          <w:tcPr>
            <w:tcW w:w="1208" w:type="dxa"/>
            <w:vMerge w:val="continue"/>
            <w:vAlign w:val="center"/>
          </w:tcPr>
          <w:p>
            <w:pPr>
              <w:widowControl/>
              <w:adjustRightInd w:val="0"/>
              <w:snapToGrid w:val="0"/>
              <w:spacing w:line="280" w:lineRule="atLeast"/>
              <w:jc w:val="center"/>
              <w:rPr>
                <w:color w:val="000000"/>
                <w:kern w:val="0"/>
                <w:szCs w:val="21"/>
              </w:rPr>
            </w:pPr>
          </w:p>
        </w:tc>
        <w:tc>
          <w:tcPr>
            <w:tcW w:w="1165" w:type="dxa"/>
            <w:vMerge w:val="continue"/>
            <w:vAlign w:val="center"/>
          </w:tcPr>
          <w:p>
            <w:pPr>
              <w:widowControl/>
              <w:adjustRightInd w:val="0"/>
              <w:snapToGrid w:val="0"/>
              <w:spacing w:line="280" w:lineRule="atLeast"/>
              <w:jc w:val="center"/>
              <w:rPr>
                <w:color w:val="000000"/>
                <w:kern w:val="0"/>
                <w:szCs w:val="21"/>
              </w:rPr>
            </w:pPr>
          </w:p>
        </w:tc>
        <w:tc>
          <w:tcPr>
            <w:tcW w:w="2467" w:type="dxa"/>
            <w:vAlign w:val="center"/>
          </w:tcPr>
          <w:p>
            <w:pPr>
              <w:widowControl/>
              <w:adjustRightInd w:val="0"/>
              <w:snapToGrid w:val="0"/>
              <w:spacing w:line="280" w:lineRule="atLeast"/>
              <w:jc w:val="center"/>
              <w:rPr>
                <w:color w:val="000000"/>
                <w:kern w:val="0"/>
                <w:szCs w:val="21"/>
              </w:rPr>
            </w:pPr>
            <w:r>
              <w:rPr>
                <w:color w:val="000000"/>
                <w:kern w:val="0"/>
                <w:szCs w:val="21"/>
              </w:rPr>
              <w:t>三等奖</w:t>
            </w:r>
          </w:p>
        </w:tc>
        <w:tc>
          <w:tcPr>
            <w:tcW w:w="2720" w:type="dxa"/>
            <w:vAlign w:val="center"/>
          </w:tcPr>
          <w:p>
            <w:pPr>
              <w:widowControl/>
              <w:adjustRightInd w:val="0"/>
              <w:snapToGrid w:val="0"/>
              <w:spacing w:line="280" w:lineRule="atLeast"/>
              <w:jc w:val="center"/>
              <w:rPr>
                <w:color w:val="000000"/>
                <w:kern w:val="0"/>
                <w:szCs w:val="21"/>
              </w:rPr>
            </w:pPr>
            <w:r>
              <w:rPr>
                <w:rFonts w:hint="eastAsia"/>
                <w:color w:val="000000"/>
                <w:kern w:val="0"/>
                <w:szCs w:val="21"/>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jc w:val="center"/>
        </w:trPr>
        <w:tc>
          <w:tcPr>
            <w:tcW w:w="1208" w:type="dxa"/>
            <w:vMerge w:val="restart"/>
            <w:noWrap/>
            <w:vAlign w:val="center"/>
          </w:tcPr>
          <w:p>
            <w:pPr>
              <w:widowControl/>
              <w:adjustRightInd w:val="0"/>
              <w:snapToGrid w:val="0"/>
              <w:spacing w:line="280" w:lineRule="atLeast"/>
              <w:jc w:val="center"/>
              <w:rPr>
                <w:color w:val="000000"/>
                <w:kern w:val="0"/>
                <w:szCs w:val="21"/>
              </w:rPr>
            </w:pPr>
            <w:r>
              <w:rPr>
                <w:rFonts w:hint="eastAsia"/>
                <w:color w:val="000000"/>
                <w:kern w:val="0"/>
                <w:szCs w:val="21"/>
              </w:rPr>
              <w:t>A2</w:t>
            </w:r>
            <w:r>
              <w:rPr>
                <w:color w:val="000000"/>
                <w:kern w:val="0"/>
                <w:szCs w:val="21"/>
              </w:rPr>
              <w:t>类竞赛</w:t>
            </w:r>
          </w:p>
        </w:tc>
        <w:tc>
          <w:tcPr>
            <w:tcW w:w="1165" w:type="dxa"/>
            <w:vMerge w:val="restart"/>
            <w:noWrap/>
            <w:vAlign w:val="center"/>
          </w:tcPr>
          <w:p>
            <w:pPr>
              <w:widowControl/>
              <w:adjustRightInd w:val="0"/>
              <w:snapToGrid w:val="0"/>
              <w:spacing w:line="280" w:lineRule="atLeast"/>
              <w:jc w:val="center"/>
              <w:rPr>
                <w:color w:val="000000"/>
                <w:kern w:val="0"/>
                <w:szCs w:val="21"/>
              </w:rPr>
            </w:pPr>
            <w:r>
              <w:rPr>
                <w:color w:val="000000"/>
                <w:kern w:val="0"/>
                <w:szCs w:val="21"/>
              </w:rPr>
              <w:t>国家级</w:t>
            </w:r>
          </w:p>
        </w:tc>
        <w:tc>
          <w:tcPr>
            <w:tcW w:w="2467" w:type="dxa"/>
            <w:vAlign w:val="center"/>
          </w:tcPr>
          <w:p>
            <w:pPr>
              <w:widowControl/>
              <w:adjustRightInd w:val="0"/>
              <w:snapToGrid w:val="0"/>
              <w:spacing w:line="280" w:lineRule="atLeast"/>
              <w:jc w:val="center"/>
              <w:rPr>
                <w:color w:val="000000"/>
                <w:kern w:val="0"/>
                <w:szCs w:val="21"/>
              </w:rPr>
            </w:pPr>
            <w:r>
              <w:rPr>
                <w:color w:val="000000"/>
                <w:kern w:val="0"/>
                <w:szCs w:val="21"/>
              </w:rPr>
              <w:t>一等奖</w:t>
            </w:r>
          </w:p>
        </w:tc>
        <w:tc>
          <w:tcPr>
            <w:tcW w:w="2720" w:type="dxa"/>
            <w:vAlign w:val="center"/>
          </w:tcPr>
          <w:p>
            <w:pPr>
              <w:widowControl/>
              <w:adjustRightInd w:val="0"/>
              <w:snapToGrid w:val="0"/>
              <w:spacing w:line="280" w:lineRule="atLeast"/>
              <w:jc w:val="center"/>
              <w:rPr>
                <w:color w:val="000000"/>
                <w:kern w:val="0"/>
                <w:szCs w:val="21"/>
              </w:rPr>
            </w:pPr>
            <w:r>
              <w:rPr>
                <w:rFonts w:hint="eastAsia"/>
                <w:color w:val="000000"/>
                <w:kern w:val="0"/>
                <w:szCs w:val="21"/>
              </w:rPr>
              <w:t>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jc w:val="center"/>
        </w:trPr>
        <w:tc>
          <w:tcPr>
            <w:tcW w:w="1208" w:type="dxa"/>
            <w:vMerge w:val="continue"/>
            <w:noWrap/>
            <w:vAlign w:val="center"/>
          </w:tcPr>
          <w:p>
            <w:pPr>
              <w:widowControl/>
              <w:adjustRightInd w:val="0"/>
              <w:snapToGrid w:val="0"/>
              <w:spacing w:line="280" w:lineRule="atLeast"/>
              <w:jc w:val="center"/>
              <w:rPr>
                <w:color w:val="000000"/>
                <w:kern w:val="0"/>
                <w:szCs w:val="21"/>
              </w:rPr>
            </w:pPr>
          </w:p>
        </w:tc>
        <w:tc>
          <w:tcPr>
            <w:tcW w:w="1165" w:type="dxa"/>
            <w:vMerge w:val="continue"/>
            <w:noWrap/>
            <w:vAlign w:val="center"/>
          </w:tcPr>
          <w:p>
            <w:pPr>
              <w:widowControl/>
              <w:adjustRightInd w:val="0"/>
              <w:snapToGrid w:val="0"/>
              <w:spacing w:line="280" w:lineRule="atLeast"/>
              <w:jc w:val="center"/>
              <w:rPr>
                <w:color w:val="000000"/>
                <w:kern w:val="0"/>
                <w:szCs w:val="21"/>
              </w:rPr>
            </w:pPr>
          </w:p>
        </w:tc>
        <w:tc>
          <w:tcPr>
            <w:tcW w:w="2467" w:type="dxa"/>
            <w:vAlign w:val="center"/>
          </w:tcPr>
          <w:p>
            <w:pPr>
              <w:widowControl/>
              <w:adjustRightInd w:val="0"/>
              <w:snapToGrid w:val="0"/>
              <w:spacing w:line="280" w:lineRule="atLeast"/>
              <w:jc w:val="center"/>
              <w:rPr>
                <w:color w:val="000000"/>
                <w:kern w:val="0"/>
                <w:szCs w:val="21"/>
              </w:rPr>
            </w:pPr>
            <w:r>
              <w:rPr>
                <w:color w:val="000000"/>
                <w:kern w:val="0"/>
                <w:szCs w:val="21"/>
              </w:rPr>
              <w:t>二等奖</w:t>
            </w:r>
          </w:p>
        </w:tc>
        <w:tc>
          <w:tcPr>
            <w:tcW w:w="2720" w:type="dxa"/>
            <w:vAlign w:val="center"/>
          </w:tcPr>
          <w:p>
            <w:pPr>
              <w:widowControl/>
              <w:adjustRightInd w:val="0"/>
              <w:snapToGrid w:val="0"/>
              <w:spacing w:line="280" w:lineRule="atLeast"/>
              <w:jc w:val="center"/>
              <w:rPr>
                <w:color w:val="000000"/>
                <w:kern w:val="0"/>
                <w:szCs w:val="21"/>
              </w:rPr>
            </w:pPr>
            <w:r>
              <w:rPr>
                <w:rFonts w:hint="eastAsia"/>
                <w:color w:val="000000"/>
                <w:kern w:val="0"/>
                <w:szCs w:val="21"/>
              </w:rPr>
              <w:t>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jc w:val="center"/>
        </w:trPr>
        <w:tc>
          <w:tcPr>
            <w:tcW w:w="1208" w:type="dxa"/>
            <w:vMerge w:val="continue"/>
            <w:noWrap/>
            <w:vAlign w:val="center"/>
          </w:tcPr>
          <w:p>
            <w:pPr>
              <w:widowControl/>
              <w:adjustRightInd w:val="0"/>
              <w:snapToGrid w:val="0"/>
              <w:spacing w:line="280" w:lineRule="atLeast"/>
              <w:jc w:val="center"/>
              <w:rPr>
                <w:color w:val="000000"/>
                <w:kern w:val="0"/>
                <w:szCs w:val="21"/>
              </w:rPr>
            </w:pPr>
          </w:p>
        </w:tc>
        <w:tc>
          <w:tcPr>
            <w:tcW w:w="1165" w:type="dxa"/>
            <w:vMerge w:val="continue"/>
            <w:noWrap/>
            <w:vAlign w:val="center"/>
          </w:tcPr>
          <w:p>
            <w:pPr>
              <w:widowControl/>
              <w:adjustRightInd w:val="0"/>
              <w:snapToGrid w:val="0"/>
              <w:spacing w:line="280" w:lineRule="atLeast"/>
              <w:jc w:val="center"/>
              <w:rPr>
                <w:color w:val="000000"/>
                <w:kern w:val="0"/>
                <w:szCs w:val="21"/>
              </w:rPr>
            </w:pPr>
          </w:p>
        </w:tc>
        <w:tc>
          <w:tcPr>
            <w:tcW w:w="2467" w:type="dxa"/>
            <w:vAlign w:val="center"/>
          </w:tcPr>
          <w:p>
            <w:pPr>
              <w:widowControl/>
              <w:adjustRightInd w:val="0"/>
              <w:snapToGrid w:val="0"/>
              <w:spacing w:line="280" w:lineRule="atLeast"/>
              <w:jc w:val="center"/>
              <w:rPr>
                <w:color w:val="000000"/>
                <w:kern w:val="0"/>
                <w:szCs w:val="21"/>
              </w:rPr>
            </w:pPr>
            <w:r>
              <w:rPr>
                <w:color w:val="000000"/>
                <w:kern w:val="0"/>
                <w:szCs w:val="21"/>
              </w:rPr>
              <w:t>三等奖</w:t>
            </w:r>
          </w:p>
        </w:tc>
        <w:tc>
          <w:tcPr>
            <w:tcW w:w="2720" w:type="dxa"/>
            <w:vAlign w:val="center"/>
          </w:tcPr>
          <w:p>
            <w:pPr>
              <w:widowControl/>
              <w:adjustRightInd w:val="0"/>
              <w:snapToGrid w:val="0"/>
              <w:spacing w:line="280" w:lineRule="atLeast"/>
              <w:jc w:val="center"/>
              <w:rPr>
                <w:color w:val="000000"/>
                <w:kern w:val="0"/>
                <w:szCs w:val="21"/>
              </w:rPr>
            </w:pPr>
            <w:r>
              <w:rPr>
                <w:rFonts w:hint="eastAsia"/>
                <w:color w:val="000000"/>
                <w:kern w:val="0"/>
                <w:szCs w:val="21"/>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jc w:val="center"/>
        </w:trPr>
        <w:tc>
          <w:tcPr>
            <w:tcW w:w="1208" w:type="dxa"/>
            <w:vMerge w:val="restart"/>
            <w:noWrap/>
            <w:vAlign w:val="center"/>
          </w:tcPr>
          <w:p>
            <w:pPr>
              <w:widowControl/>
              <w:adjustRightInd w:val="0"/>
              <w:snapToGrid w:val="0"/>
              <w:spacing w:line="280" w:lineRule="atLeast"/>
              <w:jc w:val="center"/>
              <w:rPr>
                <w:color w:val="000000"/>
                <w:kern w:val="0"/>
                <w:szCs w:val="21"/>
              </w:rPr>
            </w:pPr>
            <w:r>
              <w:rPr>
                <w:color w:val="000000"/>
                <w:kern w:val="0"/>
                <w:szCs w:val="21"/>
              </w:rPr>
              <w:t>B1类竞赛</w:t>
            </w:r>
          </w:p>
        </w:tc>
        <w:tc>
          <w:tcPr>
            <w:tcW w:w="1165" w:type="dxa"/>
            <w:vMerge w:val="restart"/>
            <w:noWrap/>
            <w:vAlign w:val="center"/>
          </w:tcPr>
          <w:p>
            <w:pPr>
              <w:widowControl/>
              <w:adjustRightInd w:val="0"/>
              <w:snapToGrid w:val="0"/>
              <w:spacing w:line="280" w:lineRule="atLeast"/>
              <w:jc w:val="center"/>
              <w:rPr>
                <w:color w:val="000000"/>
                <w:kern w:val="0"/>
                <w:szCs w:val="21"/>
              </w:rPr>
            </w:pPr>
            <w:r>
              <w:rPr>
                <w:color w:val="000000"/>
                <w:kern w:val="0"/>
                <w:szCs w:val="21"/>
              </w:rPr>
              <w:t>国家级</w:t>
            </w:r>
          </w:p>
        </w:tc>
        <w:tc>
          <w:tcPr>
            <w:tcW w:w="2467" w:type="dxa"/>
            <w:vAlign w:val="center"/>
          </w:tcPr>
          <w:p>
            <w:pPr>
              <w:widowControl/>
              <w:adjustRightInd w:val="0"/>
              <w:snapToGrid w:val="0"/>
              <w:spacing w:line="280" w:lineRule="atLeast"/>
              <w:jc w:val="center"/>
              <w:rPr>
                <w:color w:val="000000"/>
                <w:kern w:val="0"/>
                <w:szCs w:val="21"/>
              </w:rPr>
            </w:pPr>
            <w:r>
              <w:rPr>
                <w:color w:val="000000"/>
                <w:kern w:val="0"/>
                <w:szCs w:val="21"/>
              </w:rPr>
              <w:t>一等奖</w:t>
            </w:r>
          </w:p>
        </w:tc>
        <w:tc>
          <w:tcPr>
            <w:tcW w:w="2720" w:type="dxa"/>
            <w:vAlign w:val="center"/>
          </w:tcPr>
          <w:p>
            <w:pPr>
              <w:widowControl/>
              <w:adjustRightInd w:val="0"/>
              <w:snapToGrid w:val="0"/>
              <w:spacing w:line="280" w:lineRule="atLeast"/>
              <w:jc w:val="center"/>
              <w:rPr>
                <w:color w:val="000000"/>
                <w:kern w:val="0"/>
                <w:szCs w:val="21"/>
              </w:rPr>
            </w:pPr>
            <w:r>
              <w:rPr>
                <w:rFonts w:hint="eastAsia"/>
                <w:color w:val="000000"/>
                <w:kern w:val="0"/>
                <w:szCs w:val="21"/>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 w:hRule="atLeast"/>
          <w:jc w:val="center"/>
        </w:trPr>
        <w:tc>
          <w:tcPr>
            <w:tcW w:w="1208" w:type="dxa"/>
            <w:vMerge w:val="continue"/>
            <w:vAlign w:val="center"/>
          </w:tcPr>
          <w:p>
            <w:pPr>
              <w:widowControl/>
              <w:adjustRightInd w:val="0"/>
              <w:snapToGrid w:val="0"/>
              <w:spacing w:line="280" w:lineRule="atLeast"/>
              <w:jc w:val="center"/>
              <w:rPr>
                <w:color w:val="000000"/>
                <w:kern w:val="0"/>
                <w:szCs w:val="21"/>
              </w:rPr>
            </w:pPr>
          </w:p>
        </w:tc>
        <w:tc>
          <w:tcPr>
            <w:tcW w:w="1165" w:type="dxa"/>
            <w:vMerge w:val="continue"/>
            <w:vAlign w:val="center"/>
          </w:tcPr>
          <w:p>
            <w:pPr>
              <w:widowControl/>
              <w:adjustRightInd w:val="0"/>
              <w:snapToGrid w:val="0"/>
              <w:spacing w:line="280" w:lineRule="atLeast"/>
              <w:jc w:val="center"/>
              <w:rPr>
                <w:color w:val="000000"/>
                <w:kern w:val="0"/>
                <w:szCs w:val="21"/>
              </w:rPr>
            </w:pPr>
          </w:p>
        </w:tc>
        <w:tc>
          <w:tcPr>
            <w:tcW w:w="2467" w:type="dxa"/>
            <w:vAlign w:val="center"/>
          </w:tcPr>
          <w:p>
            <w:pPr>
              <w:widowControl/>
              <w:adjustRightInd w:val="0"/>
              <w:snapToGrid w:val="0"/>
              <w:spacing w:line="280" w:lineRule="atLeast"/>
              <w:jc w:val="center"/>
              <w:rPr>
                <w:color w:val="000000"/>
                <w:kern w:val="0"/>
                <w:szCs w:val="21"/>
              </w:rPr>
            </w:pPr>
            <w:r>
              <w:rPr>
                <w:color w:val="000000"/>
                <w:kern w:val="0"/>
                <w:szCs w:val="21"/>
              </w:rPr>
              <w:t>二等奖</w:t>
            </w:r>
          </w:p>
        </w:tc>
        <w:tc>
          <w:tcPr>
            <w:tcW w:w="2720" w:type="dxa"/>
            <w:vAlign w:val="center"/>
          </w:tcPr>
          <w:p>
            <w:pPr>
              <w:widowControl/>
              <w:adjustRightInd w:val="0"/>
              <w:snapToGrid w:val="0"/>
              <w:spacing w:line="280" w:lineRule="atLeast"/>
              <w:jc w:val="center"/>
              <w:rPr>
                <w:color w:val="000000"/>
                <w:kern w:val="0"/>
                <w:szCs w:val="21"/>
              </w:rPr>
            </w:pPr>
            <w:r>
              <w:rPr>
                <w:rFonts w:hint="eastAsia"/>
                <w:color w:val="000000"/>
                <w:kern w:val="0"/>
                <w:szCs w:val="21"/>
              </w:rPr>
              <w:t>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 w:hRule="atLeast"/>
          <w:jc w:val="center"/>
        </w:trPr>
        <w:tc>
          <w:tcPr>
            <w:tcW w:w="1208" w:type="dxa"/>
            <w:vMerge w:val="continue"/>
            <w:vAlign w:val="center"/>
          </w:tcPr>
          <w:p>
            <w:pPr>
              <w:widowControl/>
              <w:adjustRightInd w:val="0"/>
              <w:snapToGrid w:val="0"/>
              <w:spacing w:line="280" w:lineRule="atLeast"/>
              <w:jc w:val="center"/>
              <w:rPr>
                <w:color w:val="000000"/>
                <w:kern w:val="0"/>
                <w:szCs w:val="21"/>
              </w:rPr>
            </w:pPr>
          </w:p>
        </w:tc>
        <w:tc>
          <w:tcPr>
            <w:tcW w:w="1165" w:type="dxa"/>
            <w:vMerge w:val="continue"/>
            <w:vAlign w:val="center"/>
          </w:tcPr>
          <w:p>
            <w:pPr>
              <w:widowControl/>
              <w:adjustRightInd w:val="0"/>
              <w:snapToGrid w:val="0"/>
              <w:spacing w:line="280" w:lineRule="atLeast"/>
              <w:jc w:val="center"/>
              <w:rPr>
                <w:color w:val="000000"/>
                <w:kern w:val="0"/>
                <w:szCs w:val="21"/>
              </w:rPr>
            </w:pPr>
          </w:p>
        </w:tc>
        <w:tc>
          <w:tcPr>
            <w:tcW w:w="2467" w:type="dxa"/>
            <w:vAlign w:val="center"/>
          </w:tcPr>
          <w:p>
            <w:pPr>
              <w:widowControl/>
              <w:adjustRightInd w:val="0"/>
              <w:snapToGrid w:val="0"/>
              <w:spacing w:line="280" w:lineRule="atLeast"/>
              <w:jc w:val="center"/>
              <w:rPr>
                <w:color w:val="000000"/>
                <w:kern w:val="0"/>
                <w:szCs w:val="21"/>
              </w:rPr>
            </w:pPr>
            <w:r>
              <w:rPr>
                <w:color w:val="000000"/>
                <w:kern w:val="0"/>
                <w:szCs w:val="21"/>
              </w:rPr>
              <w:t>三等奖</w:t>
            </w:r>
          </w:p>
        </w:tc>
        <w:tc>
          <w:tcPr>
            <w:tcW w:w="2720" w:type="dxa"/>
            <w:vAlign w:val="center"/>
          </w:tcPr>
          <w:p>
            <w:pPr>
              <w:widowControl/>
              <w:adjustRightInd w:val="0"/>
              <w:snapToGrid w:val="0"/>
              <w:spacing w:line="280" w:lineRule="atLeast"/>
              <w:jc w:val="center"/>
              <w:rPr>
                <w:color w:val="000000"/>
                <w:kern w:val="0"/>
                <w:szCs w:val="21"/>
              </w:rPr>
            </w:pPr>
            <w:r>
              <w:rPr>
                <w:rFonts w:hint="eastAsia"/>
                <w:color w:val="000000"/>
                <w:kern w:val="0"/>
                <w:szCs w:val="21"/>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jc w:val="center"/>
        </w:trPr>
        <w:tc>
          <w:tcPr>
            <w:tcW w:w="1208" w:type="dxa"/>
            <w:vMerge w:val="restart"/>
            <w:noWrap/>
            <w:vAlign w:val="center"/>
          </w:tcPr>
          <w:p>
            <w:pPr>
              <w:widowControl/>
              <w:adjustRightInd w:val="0"/>
              <w:snapToGrid w:val="0"/>
              <w:spacing w:line="280" w:lineRule="atLeast"/>
              <w:jc w:val="center"/>
              <w:rPr>
                <w:color w:val="000000"/>
                <w:kern w:val="0"/>
                <w:szCs w:val="21"/>
              </w:rPr>
            </w:pPr>
            <w:r>
              <w:rPr>
                <w:color w:val="000000"/>
                <w:kern w:val="0"/>
                <w:szCs w:val="21"/>
              </w:rPr>
              <w:t>B2类竞赛</w:t>
            </w:r>
          </w:p>
        </w:tc>
        <w:tc>
          <w:tcPr>
            <w:tcW w:w="1165" w:type="dxa"/>
            <w:vMerge w:val="restart"/>
            <w:noWrap/>
            <w:vAlign w:val="center"/>
          </w:tcPr>
          <w:p>
            <w:pPr>
              <w:widowControl/>
              <w:adjustRightInd w:val="0"/>
              <w:snapToGrid w:val="0"/>
              <w:spacing w:line="280" w:lineRule="atLeast"/>
              <w:jc w:val="center"/>
              <w:rPr>
                <w:color w:val="000000"/>
                <w:kern w:val="0"/>
                <w:szCs w:val="21"/>
              </w:rPr>
            </w:pPr>
            <w:r>
              <w:rPr>
                <w:color w:val="000000"/>
                <w:kern w:val="0"/>
                <w:szCs w:val="21"/>
              </w:rPr>
              <w:t>国家级</w:t>
            </w:r>
          </w:p>
        </w:tc>
        <w:tc>
          <w:tcPr>
            <w:tcW w:w="2467" w:type="dxa"/>
            <w:vAlign w:val="center"/>
          </w:tcPr>
          <w:p>
            <w:pPr>
              <w:widowControl/>
              <w:adjustRightInd w:val="0"/>
              <w:snapToGrid w:val="0"/>
              <w:spacing w:line="280" w:lineRule="atLeast"/>
              <w:jc w:val="center"/>
              <w:rPr>
                <w:color w:val="000000"/>
                <w:kern w:val="0"/>
                <w:szCs w:val="21"/>
              </w:rPr>
            </w:pPr>
            <w:r>
              <w:rPr>
                <w:color w:val="000000"/>
                <w:kern w:val="0"/>
                <w:szCs w:val="21"/>
              </w:rPr>
              <w:t>一等奖</w:t>
            </w:r>
          </w:p>
        </w:tc>
        <w:tc>
          <w:tcPr>
            <w:tcW w:w="2720" w:type="dxa"/>
            <w:vAlign w:val="center"/>
          </w:tcPr>
          <w:p>
            <w:pPr>
              <w:widowControl/>
              <w:adjustRightInd w:val="0"/>
              <w:snapToGrid w:val="0"/>
              <w:spacing w:line="280" w:lineRule="atLeast"/>
              <w:jc w:val="center"/>
              <w:rPr>
                <w:color w:val="000000"/>
                <w:kern w:val="0"/>
                <w:szCs w:val="21"/>
              </w:rPr>
            </w:pPr>
            <w:r>
              <w:rPr>
                <w:rFonts w:hint="eastAsia"/>
                <w:color w:val="000000"/>
                <w:kern w:val="0"/>
                <w:szCs w:val="21"/>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4" w:hRule="atLeast"/>
          <w:jc w:val="center"/>
        </w:trPr>
        <w:tc>
          <w:tcPr>
            <w:tcW w:w="1208" w:type="dxa"/>
            <w:vMerge w:val="continue"/>
            <w:vAlign w:val="center"/>
          </w:tcPr>
          <w:p>
            <w:pPr>
              <w:widowControl/>
              <w:adjustRightInd w:val="0"/>
              <w:snapToGrid w:val="0"/>
              <w:spacing w:line="280" w:lineRule="atLeast"/>
              <w:jc w:val="center"/>
              <w:rPr>
                <w:color w:val="000000"/>
                <w:kern w:val="0"/>
                <w:szCs w:val="21"/>
              </w:rPr>
            </w:pPr>
          </w:p>
        </w:tc>
        <w:tc>
          <w:tcPr>
            <w:tcW w:w="1165" w:type="dxa"/>
            <w:vMerge w:val="continue"/>
            <w:vAlign w:val="center"/>
          </w:tcPr>
          <w:p>
            <w:pPr>
              <w:widowControl/>
              <w:adjustRightInd w:val="0"/>
              <w:snapToGrid w:val="0"/>
              <w:spacing w:line="280" w:lineRule="atLeast"/>
              <w:jc w:val="center"/>
              <w:rPr>
                <w:color w:val="000000"/>
                <w:kern w:val="0"/>
                <w:szCs w:val="21"/>
              </w:rPr>
            </w:pPr>
          </w:p>
        </w:tc>
        <w:tc>
          <w:tcPr>
            <w:tcW w:w="2467" w:type="dxa"/>
            <w:vAlign w:val="center"/>
          </w:tcPr>
          <w:p>
            <w:pPr>
              <w:widowControl/>
              <w:adjustRightInd w:val="0"/>
              <w:snapToGrid w:val="0"/>
              <w:spacing w:line="280" w:lineRule="atLeast"/>
              <w:jc w:val="center"/>
              <w:rPr>
                <w:color w:val="000000"/>
                <w:kern w:val="0"/>
                <w:szCs w:val="21"/>
              </w:rPr>
            </w:pPr>
            <w:r>
              <w:rPr>
                <w:color w:val="000000"/>
                <w:kern w:val="0"/>
                <w:szCs w:val="21"/>
              </w:rPr>
              <w:t>二等奖</w:t>
            </w:r>
          </w:p>
        </w:tc>
        <w:tc>
          <w:tcPr>
            <w:tcW w:w="2720" w:type="dxa"/>
            <w:vAlign w:val="center"/>
          </w:tcPr>
          <w:p>
            <w:pPr>
              <w:widowControl/>
              <w:adjustRightInd w:val="0"/>
              <w:snapToGrid w:val="0"/>
              <w:spacing w:line="280" w:lineRule="atLeast"/>
              <w:jc w:val="center"/>
              <w:rPr>
                <w:color w:val="000000"/>
                <w:kern w:val="0"/>
                <w:szCs w:val="21"/>
              </w:rPr>
            </w:pPr>
            <w:r>
              <w:rPr>
                <w:rFonts w:hint="eastAsia"/>
                <w:color w:val="000000"/>
                <w:kern w:val="0"/>
                <w:szCs w:val="21"/>
              </w:rPr>
              <w:t>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 w:hRule="atLeast"/>
          <w:jc w:val="center"/>
        </w:trPr>
        <w:tc>
          <w:tcPr>
            <w:tcW w:w="1208" w:type="dxa"/>
            <w:vMerge w:val="continue"/>
            <w:vAlign w:val="center"/>
          </w:tcPr>
          <w:p>
            <w:pPr>
              <w:widowControl/>
              <w:adjustRightInd w:val="0"/>
              <w:snapToGrid w:val="0"/>
              <w:spacing w:line="280" w:lineRule="atLeast"/>
              <w:jc w:val="center"/>
              <w:rPr>
                <w:color w:val="000000"/>
                <w:kern w:val="0"/>
                <w:szCs w:val="21"/>
              </w:rPr>
            </w:pPr>
          </w:p>
        </w:tc>
        <w:tc>
          <w:tcPr>
            <w:tcW w:w="1165" w:type="dxa"/>
            <w:vMerge w:val="continue"/>
            <w:vAlign w:val="center"/>
          </w:tcPr>
          <w:p>
            <w:pPr>
              <w:widowControl/>
              <w:adjustRightInd w:val="0"/>
              <w:snapToGrid w:val="0"/>
              <w:spacing w:line="280" w:lineRule="atLeast"/>
              <w:jc w:val="center"/>
              <w:rPr>
                <w:color w:val="000000"/>
                <w:kern w:val="0"/>
                <w:szCs w:val="21"/>
              </w:rPr>
            </w:pPr>
          </w:p>
        </w:tc>
        <w:tc>
          <w:tcPr>
            <w:tcW w:w="2467" w:type="dxa"/>
            <w:vAlign w:val="center"/>
          </w:tcPr>
          <w:p>
            <w:pPr>
              <w:widowControl/>
              <w:adjustRightInd w:val="0"/>
              <w:snapToGrid w:val="0"/>
              <w:spacing w:line="280" w:lineRule="atLeast"/>
              <w:jc w:val="center"/>
              <w:rPr>
                <w:color w:val="000000"/>
                <w:kern w:val="0"/>
                <w:szCs w:val="21"/>
              </w:rPr>
            </w:pPr>
            <w:r>
              <w:rPr>
                <w:color w:val="000000"/>
                <w:kern w:val="0"/>
                <w:szCs w:val="21"/>
              </w:rPr>
              <w:t>三等奖</w:t>
            </w:r>
          </w:p>
        </w:tc>
        <w:tc>
          <w:tcPr>
            <w:tcW w:w="2720" w:type="dxa"/>
            <w:vAlign w:val="center"/>
          </w:tcPr>
          <w:p>
            <w:pPr>
              <w:widowControl/>
              <w:adjustRightInd w:val="0"/>
              <w:snapToGrid w:val="0"/>
              <w:spacing w:line="280" w:lineRule="atLeast"/>
              <w:jc w:val="center"/>
              <w:rPr>
                <w:color w:val="000000"/>
                <w:kern w:val="0"/>
                <w:szCs w:val="21"/>
              </w:rPr>
            </w:pPr>
            <w:r>
              <w:rPr>
                <w:rFonts w:hint="eastAsia"/>
                <w:color w:val="000000"/>
                <w:kern w:val="0"/>
                <w:szCs w:val="21"/>
              </w:rPr>
              <w:t>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60" w:type="dxa"/>
            <w:gridSpan w:val="4"/>
            <w:vAlign w:val="center"/>
          </w:tcPr>
          <w:p>
            <w:pPr>
              <w:widowControl/>
              <w:jc w:val="left"/>
              <w:rPr>
                <w:color w:val="000000"/>
                <w:kern w:val="0"/>
                <w:szCs w:val="21"/>
              </w:rPr>
            </w:pPr>
            <w:r>
              <w:rPr>
                <w:rFonts w:hint="eastAsia"/>
                <w:color w:val="000000"/>
                <w:kern w:val="0"/>
                <w:szCs w:val="21"/>
              </w:rPr>
              <w:t>说明：1.A1、A2、B1、B2类赛事按</w:t>
            </w:r>
            <w:r>
              <w:rPr>
                <w:rFonts w:hint="eastAsia"/>
                <w:color w:val="000000"/>
                <w:kern w:val="0"/>
                <w:szCs w:val="21"/>
                <w:lang w:eastAsia="zh-CN"/>
              </w:rPr>
              <w:t>《</w:t>
            </w:r>
            <w:bookmarkStart w:id="0" w:name="_GoBack"/>
            <w:bookmarkEnd w:id="0"/>
            <w:r>
              <w:rPr>
                <w:rFonts w:hint="eastAsia"/>
                <w:color w:val="000000"/>
                <w:kern w:val="0"/>
                <w:szCs w:val="21"/>
              </w:rPr>
              <w:t>武汉科技大学学生学科和科技竞赛管理办法（武科大教发〔2021〕39号</w:t>
            </w:r>
            <w:r>
              <w:rPr>
                <w:color w:val="000000"/>
                <w:kern w:val="0"/>
                <w:szCs w:val="21"/>
              </w:rPr>
              <w:t>》分类，其他未列入此文件的比赛项目不予认定；2.</w:t>
            </w:r>
            <w:r>
              <w:rPr>
                <w:rFonts w:hint="eastAsia"/>
                <w:color w:val="000000"/>
                <w:kern w:val="0"/>
                <w:szCs w:val="21"/>
              </w:rPr>
              <w:t>获奖项目参赛人员小于等于</w:t>
            </w:r>
            <w:r>
              <w:rPr>
                <w:color w:val="000000"/>
                <w:kern w:val="0"/>
                <w:szCs w:val="21"/>
              </w:rPr>
              <w:t>5</w:t>
            </w:r>
            <w:r>
              <w:rPr>
                <w:rFonts w:hint="eastAsia"/>
                <w:color w:val="000000"/>
                <w:kern w:val="0"/>
                <w:szCs w:val="21"/>
              </w:rPr>
              <w:t>人的，按照排名先后</w:t>
            </w:r>
            <w:r>
              <w:rPr>
                <w:color w:val="000000"/>
                <w:kern w:val="0"/>
                <w:szCs w:val="21"/>
              </w:rPr>
              <w:t>20%</w:t>
            </w:r>
            <w:r>
              <w:rPr>
                <w:rFonts w:hint="eastAsia"/>
                <w:color w:val="000000"/>
                <w:kern w:val="0"/>
                <w:szCs w:val="21"/>
              </w:rPr>
              <w:t>递减，参赛人员大于</w:t>
            </w:r>
            <w:r>
              <w:rPr>
                <w:color w:val="000000"/>
                <w:kern w:val="0"/>
                <w:szCs w:val="21"/>
              </w:rPr>
              <w:t>5</w:t>
            </w:r>
            <w:r>
              <w:rPr>
                <w:rFonts w:hint="eastAsia"/>
                <w:color w:val="000000"/>
                <w:kern w:val="0"/>
                <w:szCs w:val="21"/>
              </w:rPr>
              <w:t>人的按照人数等差递减。团体竞赛项目，项目负责人按相应项目等级计满分，其他团队人员均减半计分。</w:t>
            </w:r>
          </w:p>
          <w:p>
            <w:pPr>
              <w:widowControl/>
              <w:jc w:val="left"/>
              <w:rPr>
                <w:color w:val="000000"/>
                <w:kern w:val="0"/>
                <w:szCs w:val="21"/>
              </w:rPr>
            </w:pPr>
            <w:r>
              <w:rPr>
                <w:rFonts w:hint="eastAsia"/>
                <w:color w:val="000000"/>
                <w:kern w:val="0"/>
                <w:szCs w:val="21"/>
              </w:rPr>
              <w:t>3.</w:t>
            </w:r>
            <w:r>
              <w:rPr>
                <w:color w:val="000000"/>
                <w:kern w:val="0"/>
                <w:szCs w:val="21"/>
              </w:rPr>
              <w:t>同一</w:t>
            </w:r>
            <w:r>
              <w:rPr>
                <w:rFonts w:hint="eastAsia"/>
                <w:color w:val="000000"/>
                <w:kern w:val="0"/>
                <w:szCs w:val="21"/>
              </w:rPr>
              <w:t>竞赛类别，</w:t>
            </w:r>
            <w:r>
              <w:rPr>
                <w:color w:val="000000"/>
                <w:kern w:val="0"/>
                <w:szCs w:val="21"/>
              </w:rPr>
              <w:t>只取该项目最高</w:t>
            </w:r>
            <w:r>
              <w:rPr>
                <w:rFonts w:hint="eastAsia"/>
                <w:color w:val="000000"/>
                <w:kern w:val="0"/>
                <w:szCs w:val="21"/>
              </w:rPr>
              <w:t>内容及等级计分；</w:t>
            </w:r>
            <w:r>
              <w:rPr>
                <w:color w:val="000000"/>
                <w:kern w:val="0"/>
                <w:szCs w:val="21"/>
              </w:rPr>
              <w:t>不同</w:t>
            </w:r>
            <w:r>
              <w:rPr>
                <w:rFonts w:hint="eastAsia"/>
                <w:color w:val="000000"/>
                <w:kern w:val="0"/>
                <w:szCs w:val="21"/>
              </w:rPr>
              <w:t>竞赛类别，计</w:t>
            </w:r>
            <w:r>
              <w:rPr>
                <w:color w:val="000000"/>
                <w:kern w:val="0"/>
                <w:szCs w:val="21"/>
              </w:rPr>
              <w:t>分可累加</w:t>
            </w:r>
            <w:r>
              <w:rPr>
                <w:rFonts w:hint="eastAsia"/>
                <w:color w:val="000000"/>
                <w:kern w:val="0"/>
                <w:szCs w:val="21"/>
              </w:rPr>
              <w:t>。</w:t>
            </w:r>
          </w:p>
        </w:tc>
      </w:tr>
    </w:tbl>
    <w:p>
      <w:pPr>
        <w:widowControl/>
        <w:spacing w:line="440" w:lineRule="exact"/>
        <w:jc w:val="left"/>
        <w:rPr>
          <w:rFonts w:ascii="宋体" w:hAnsi="宋体" w:cs="宋体"/>
          <w:b/>
          <w:kern w:val="0"/>
          <w:sz w:val="24"/>
        </w:rPr>
      </w:pPr>
    </w:p>
    <w:p>
      <w:pPr>
        <w:widowControl/>
        <w:spacing w:line="440" w:lineRule="exact"/>
        <w:ind w:firstLine="570"/>
        <w:jc w:val="left"/>
        <w:rPr>
          <w:rFonts w:ascii="宋体" w:hAnsi="宋体" w:cs="宋体"/>
          <w:b/>
          <w:kern w:val="0"/>
          <w:sz w:val="24"/>
        </w:rPr>
      </w:pPr>
      <w:r>
        <w:rPr>
          <w:rFonts w:hint="eastAsia" w:ascii="宋体" w:hAnsi="宋体" w:cs="宋体"/>
          <w:b/>
          <w:kern w:val="0"/>
          <w:sz w:val="24"/>
        </w:rPr>
        <w:t>五、推荐工作日程安排</w:t>
      </w:r>
    </w:p>
    <w:p>
      <w:pPr>
        <w:widowControl/>
        <w:spacing w:line="440" w:lineRule="exact"/>
        <w:ind w:firstLine="480" w:firstLineChars="200"/>
        <w:rPr>
          <w:rFonts w:ascii="宋体" w:hAnsi="宋体" w:cs="宋体"/>
          <w:kern w:val="0"/>
          <w:sz w:val="24"/>
        </w:rPr>
      </w:pPr>
      <w:r>
        <w:rPr>
          <w:rFonts w:ascii="宋体" w:hAnsi="宋体" w:cs="宋体"/>
          <w:kern w:val="0"/>
          <w:sz w:val="24"/>
        </w:rPr>
        <w:t>9月</w:t>
      </w:r>
      <w:r>
        <w:rPr>
          <w:rFonts w:hint="eastAsia" w:ascii="宋体" w:hAnsi="宋体" w:cs="宋体"/>
          <w:kern w:val="0"/>
          <w:sz w:val="24"/>
        </w:rPr>
        <w:t>14</w:t>
      </w:r>
      <w:r>
        <w:rPr>
          <w:rFonts w:ascii="宋体" w:hAnsi="宋体" w:cs="宋体"/>
          <w:kern w:val="0"/>
          <w:sz w:val="24"/>
        </w:rPr>
        <w:t>日</w:t>
      </w:r>
      <w:r>
        <w:rPr>
          <w:rFonts w:hint="eastAsia" w:ascii="宋体" w:hAnsi="宋体" w:cs="宋体"/>
          <w:kern w:val="0"/>
          <w:sz w:val="24"/>
        </w:rPr>
        <w:t>17：00</w:t>
      </w:r>
      <w:r>
        <w:rPr>
          <w:rFonts w:ascii="宋体" w:hAnsi="宋体" w:cs="宋体"/>
          <w:kern w:val="0"/>
          <w:sz w:val="24"/>
        </w:rPr>
        <w:t>前，申请人将《</w:t>
      </w:r>
      <w:r>
        <w:rPr>
          <w:rFonts w:hint="eastAsia" w:ascii="宋体" w:hAnsi="宋体" w:cs="宋体"/>
          <w:kern w:val="0"/>
          <w:sz w:val="24"/>
        </w:rPr>
        <w:t>武汉科技大学优秀本科毕业生免试攻读硕士研究生申请表</w:t>
      </w:r>
      <w:r>
        <w:rPr>
          <w:rFonts w:ascii="宋体" w:hAnsi="宋体" w:cs="宋体"/>
          <w:kern w:val="0"/>
          <w:sz w:val="24"/>
        </w:rPr>
        <w:t>》</w:t>
      </w:r>
      <w:r>
        <w:rPr>
          <w:rFonts w:hint="eastAsia" w:ascii="宋体" w:hAnsi="宋体" w:cs="宋体"/>
          <w:kern w:val="0"/>
          <w:sz w:val="24"/>
        </w:rPr>
        <w:t>、专业成绩单、英语等级证书及相关科研成果、竞赛奖励的</w:t>
      </w:r>
      <w:r>
        <w:rPr>
          <w:rFonts w:ascii="宋体" w:hAnsi="宋体" w:cs="宋体"/>
          <w:kern w:val="0"/>
          <w:sz w:val="24"/>
        </w:rPr>
        <w:t>原件和复印件</w:t>
      </w:r>
      <w:r>
        <w:rPr>
          <w:rFonts w:hint="eastAsia" w:ascii="宋体" w:hAnsi="宋体" w:cs="宋体"/>
          <w:kern w:val="0"/>
          <w:sz w:val="24"/>
        </w:rPr>
        <w:t>等支撑</w:t>
      </w:r>
      <w:r>
        <w:rPr>
          <w:rFonts w:ascii="宋体" w:hAnsi="宋体" w:cs="宋体"/>
          <w:kern w:val="0"/>
          <w:sz w:val="24"/>
        </w:rPr>
        <w:t>材料</w:t>
      </w:r>
      <w:r>
        <w:rPr>
          <w:rFonts w:hint="eastAsia" w:ascii="宋体" w:hAnsi="宋体" w:cs="宋体"/>
          <w:kern w:val="0"/>
          <w:sz w:val="24"/>
        </w:rPr>
        <w:t>交至学院5312给毕业年级辅导员，同时将《资环202</w:t>
      </w:r>
      <w:r>
        <w:rPr>
          <w:rFonts w:hint="eastAsia" w:ascii="宋体" w:hAnsi="宋体" w:cs="宋体"/>
          <w:kern w:val="0"/>
          <w:sz w:val="24"/>
          <w:lang w:val="en-US" w:eastAsia="zh-CN"/>
        </w:rPr>
        <w:t>3</w:t>
      </w:r>
      <w:r>
        <w:rPr>
          <w:rFonts w:hint="eastAsia" w:ascii="宋体" w:hAnsi="宋体" w:cs="宋体"/>
          <w:kern w:val="0"/>
          <w:sz w:val="24"/>
        </w:rPr>
        <w:t>届本科毕业生免试攻读硕士学位研究生汇总表》电子版发至693760060@qq.com邮箱。</w:t>
      </w:r>
      <w:r>
        <w:rPr>
          <w:rFonts w:ascii="宋体" w:hAnsi="宋体"/>
          <w:sz w:val="24"/>
        </w:rPr>
        <w:t>逾期不报，视为自动放弃申报资格</w:t>
      </w:r>
      <w:r>
        <w:rPr>
          <w:rFonts w:hint="eastAsia" w:ascii="宋体" w:hAnsi="宋体" w:cs="宋体"/>
          <w:kern w:val="0"/>
          <w:sz w:val="24"/>
        </w:rPr>
        <w:t>。</w:t>
      </w:r>
    </w:p>
    <w:p>
      <w:pPr>
        <w:widowControl/>
        <w:spacing w:line="440" w:lineRule="exact"/>
        <w:ind w:firstLine="460" w:firstLineChars="192"/>
        <w:jc w:val="right"/>
        <w:rPr>
          <w:rFonts w:ascii="宋体" w:hAnsi="宋体" w:cs="宋体"/>
          <w:bCs/>
          <w:kern w:val="0"/>
          <w:sz w:val="24"/>
        </w:rPr>
      </w:pPr>
    </w:p>
    <w:p>
      <w:pPr>
        <w:widowControl/>
        <w:spacing w:line="440" w:lineRule="exact"/>
        <w:ind w:firstLine="460" w:firstLineChars="192"/>
        <w:jc w:val="right"/>
        <w:rPr>
          <w:rFonts w:ascii="宋体" w:hAnsi="宋体" w:cs="宋体"/>
          <w:bCs/>
          <w:kern w:val="0"/>
          <w:sz w:val="24"/>
        </w:rPr>
      </w:pPr>
    </w:p>
    <w:p>
      <w:pPr>
        <w:widowControl/>
        <w:spacing w:line="440" w:lineRule="exact"/>
        <w:ind w:firstLine="460" w:firstLineChars="192"/>
        <w:jc w:val="right"/>
        <w:rPr>
          <w:rFonts w:ascii="宋体" w:hAnsi="宋体" w:cs="宋体"/>
          <w:kern w:val="0"/>
          <w:sz w:val="24"/>
        </w:rPr>
      </w:pPr>
      <w:r>
        <w:rPr>
          <w:rFonts w:hint="eastAsia" w:ascii="宋体" w:hAnsi="宋体" w:cs="宋体"/>
          <w:kern w:val="0"/>
          <w:sz w:val="24"/>
        </w:rPr>
        <w:t>资源与环境工程学院</w:t>
      </w:r>
    </w:p>
    <w:p>
      <w:pPr>
        <w:widowControl/>
        <w:spacing w:line="440" w:lineRule="exact"/>
        <w:ind w:firstLine="460" w:firstLineChars="192"/>
        <w:jc w:val="right"/>
        <w:rPr>
          <w:kern w:val="0"/>
          <w:szCs w:val="21"/>
        </w:rPr>
      </w:pPr>
      <w:r>
        <w:rPr>
          <w:rFonts w:hint="eastAsia" w:ascii="宋体" w:hAnsi="宋体" w:cs="宋体"/>
          <w:kern w:val="0"/>
          <w:sz w:val="24"/>
        </w:rPr>
        <w:t>20</w:t>
      </w:r>
      <w:r>
        <w:rPr>
          <w:rFonts w:hint="eastAsia" w:ascii="宋体" w:hAnsi="宋体" w:cs="宋体"/>
          <w:kern w:val="0"/>
          <w:sz w:val="24"/>
          <w:lang w:val="en-US" w:eastAsia="zh-CN"/>
        </w:rPr>
        <w:t>22</w:t>
      </w:r>
      <w:r>
        <w:rPr>
          <w:rFonts w:ascii="宋体" w:hAnsi="宋体" w:cs="宋体"/>
          <w:kern w:val="0"/>
          <w:sz w:val="24"/>
        </w:rPr>
        <w:t>年</w:t>
      </w:r>
      <w:r>
        <w:rPr>
          <w:rFonts w:hint="eastAsia" w:ascii="宋体" w:hAnsi="宋体" w:cs="宋体"/>
          <w:kern w:val="0"/>
          <w:sz w:val="24"/>
        </w:rPr>
        <w:t>09</w:t>
      </w:r>
      <w:r>
        <w:rPr>
          <w:rFonts w:ascii="宋体" w:hAnsi="宋体" w:cs="宋体"/>
          <w:kern w:val="0"/>
          <w:sz w:val="24"/>
        </w:rPr>
        <w:t>月</w:t>
      </w:r>
      <w:r>
        <w:rPr>
          <w:rFonts w:hint="eastAsia" w:ascii="宋体" w:hAnsi="宋体" w:cs="宋体"/>
          <w:kern w:val="0"/>
          <w:sz w:val="24"/>
        </w:rPr>
        <w:t>1</w:t>
      </w:r>
      <w:r>
        <w:rPr>
          <w:rFonts w:hint="eastAsia" w:ascii="宋体" w:hAnsi="宋体" w:cs="宋体"/>
          <w:kern w:val="0"/>
          <w:sz w:val="24"/>
          <w:lang w:val="en-US" w:eastAsia="zh-CN"/>
        </w:rPr>
        <w:t>3</w:t>
      </w:r>
      <w:r>
        <w:rPr>
          <w:rFonts w:ascii="宋体" w:hAnsi="宋体" w:cs="宋体"/>
          <w:kern w:val="0"/>
          <w:sz w:val="24"/>
        </w:rPr>
        <w:t>日</w:t>
      </w:r>
    </w:p>
    <w:p>
      <w:pPr>
        <w:widowControl/>
        <w:spacing w:line="400" w:lineRule="exact"/>
        <w:jc w:val="center"/>
        <w:rPr>
          <w:kern w:val="0"/>
          <w:szCs w:val="21"/>
        </w:rPr>
      </w:pPr>
    </w:p>
    <w:p>
      <w:pPr>
        <w:widowControl/>
        <w:jc w:val="center"/>
        <w:rPr>
          <w:color w:val="000000"/>
          <w:kern w:val="0"/>
          <w:szCs w:val="21"/>
        </w:rPr>
      </w:pPr>
    </w:p>
    <w:sectPr>
      <w:headerReference r:id="rId3" w:type="default"/>
      <w:pgSz w:w="11906" w:h="16838"/>
      <w:pgMar w:top="1361" w:right="1304" w:bottom="1361" w:left="130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NotTrackMoves/>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RhNGE4MzMwZGYyZjU2M2VhMmUxNDE0MmI4YWZhOWIifQ=="/>
  </w:docVars>
  <w:rsids>
    <w:rsidRoot w:val="008B6226"/>
    <w:rsid w:val="00512793"/>
    <w:rsid w:val="005C44D1"/>
    <w:rsid w:val="008831DE"/>
    <w:rsid w:val="008B6226"/>
    <w:rsid w:val="00B1406E"/>
    <w:rsid w:val="00FB5556"/>
    <w:rsid w:val="05004468"/>
    <w:rsid w:val="05D34C62"/>
    <w:rsid w:val="07C852EF"/>
    <w:rsid w:val="0883394F"/>
    <w:rsid w:val="08D41EB2"/>
    <w:rsid w:val="0F89540D"/>
    <w:rsid w:val="113A5555"/>
    <w:rsid w:val="11F51A31"/>
    <w:rsid w:val="168815D2"/>
    <w:rsid w:val="179E6F11"/>
    <w:rsid w:val="181D2AA8"/>
    <w:rsid w:val="1B8530A9"/>
    <w:rsid w:val="21AB3A39"/>
    <w:rsid w:val="272E0923"/>
    <w:rsid w:val="2A496BF1"/>
    <w:rsid w:val="2CAB4455"/>
    <w:rsid w:val="33BC3BFB"/>
    <w:rsid w:val="33CB2988"/>
    <w:rsid w:val="37A25E8B"/>
    <w:rsid w:val="38816194"/>
    <w:rsid w:val="38AF2408"/>
    <w:rsid w:val="3BBB2B4F"/>
    <w:rsid w:val="43A51B15"/>
    <w:rsid w:val="48345CE6"/>
    <w:rsid w:val="4AC95573"/>
    <w:rsid w:val="4C4566AF"/>
    <w:rsid w:val="51241638"/>
    <w:rsid w:val="592761B0"/>
    <w:rsid w:val="5B7163FA"/>
    <w:rsid w:val="5CED17FE"/>
    <w:rsid w:val="5D3E02FE"/>
    <w:rsid w:val="603B7DF2"/>
    <w:rsid w:val="62321BE7"/>
    <w:rsid w:val="62C21E97"/>
    <w:rsid w:val="66DC1AF3"/>
    <w:rsid w:val="69B61AD7"/>
    <w:rsid w:val="6F572322"/>
    <w:rsid w:val="72C1283B"/>
    <w:rsid w:val="74E97204"/>
    <w:rsid w:val="7572220A"/>
    <w:rsid w:val="79C17C1C"/>
    <w:rsid w:val="7E6D33AD"/>
    <w:rsid w:val="7F6B024E"/>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99"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99"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99" w:semiHidden="0" w:name="Balloon Text"/>
    <w:lsdException w:qFormat="1" w:unhideWhenUsed="0"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0"/>
    <w:qFormat/>
    <w:uiPriority w:val="99"/>
    <w:pPr>
      <w:ind w:left="100" w:leftChars="2500"/>
    </w:pPr>
  </w:style>
  <w:style w:type="paragraph" w:styleId="3">
    <w:name w:val="Balloon Text"/>
    <w:basedOn w:val="1"/>
    <w:link w:val="13"/>
    <w:qFormat/>
    <w:uiPriority w:val="99"/>
    <w:rPr>
      <w:sz w:val="18"/>
      <w:szCs w:val="18"/>
    </w:rPr>
  </w:style>
  <w:style w:type="paragraph" w:styleId="4">
    <w:name w:val="footer"/>
    <w:basedOn w:val="1"/>
    <w:link w:val="12"/>
    <w:qFormat/>
    <w:uiPriority w:val="99"/>
    <w:pPr>
      <w:tabs>
        <w:tab w:val="center" w:pos="4153"/>
        <w:tab w:val="right" w:pos="8306"/>
      </w:tabs>
      <w:snapToGrid w:val="0"/>
      <w:jc w:val="left"/>
    </w:pPr>
    <w:rPr>
      <w:sz w:val="18"/>
      <w:szCs w:val="18"/>
    </w:rPr>
  </w:style>
  <w:style w:type="paragraph" w:styleId="5">
    <w:name w:val="header"/>
    <w:basedOn w:val="1"/>
    <w:link w:val="11"/>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Strong"/>
    <w:qFormat/>
    <w:uiPriority w:val="99"/>
    <w:rPr>
      <w:rFonts w:cs="Times New Roman"/>
      <w:b/>
      <w:bCs/>
    </w:rPr>
  </w:style>
  <w:style w:type="character" w:customStyle="1" w:styleId="10">
    <w:name w:val="日期 Char"/>
    <w:link w:val="2"/>
    <w:qFormat/>
    <w:uiPriority w:val="99"/>
    <w:rPr>
      <w:rFonts w:cs="Times New Roman"/>
      <w:sz w:val="24"/>
      <w:szCs w:val="24"/>
    </w:rPr>
  </w:style>
  <w:style w:type="character" w:customStyle="1" w:styleId="11">
    <w:name w:val="页眉 Char"/>
    <w:link w:val="5"/>
    <w:qFormat/>
    <w:uiPriority w:val="99"/>
    <w:rPr>
      <w:rFonts w:cs="Times New Roman"/>
      <w:sz w:val="18"/>
      <w:szCs w:val="18"/>
    </w:rPr>
  </w:style>
  <w:style w:type="character" w:customStyle="1" w:styleId="12">
    <w:name w:val="页脚 Char"/>
    <w:link w:val="4"/>
    <w:qFormat/>
    <w:uiPriority w:val="99"/>
    <w:rPr>
      <w:rFonts w:cs="Times New Roman"/>
      <w:sz w:val="18"/>
      <w:szCs w:val="18"/>
    </w:rPr>
  </w:style>
  <w:style w:type="character" w:customStyle="1" w:styleId="13">
    <w:name w:val="批注框文本 Char"/>
    <w:link w:val="3"/>
    <w:qFormat/>
    <w:uiPriority w:val="99"/>
    <w:rPr>
      <w:rFonts w:cs="Times New Roman"/>
      <w:sz w:val="2"/>
    </w:rPr>
  </w:style>
  <w:style w:type="paragraph" w:styleId="14">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化工学院</Company>
  <Pages>3</Pages>
  <Words>1983</Words>
  <Characters>2136</Characters>
  <Lines>16</Lines>
  <Paragraphs>4</Paragraphs>
  <TotalTime>19</TotalTime>
  <ScaleCrop>false</ScaleCrop>
  <LinksUpToDate>false</LinksUpToDate>
  <CharactersWithSpaces>2159</CharactersWithSpaces>
  <Application>WPS Office_11.1.0.12019_F1E327BC-269C-435d-A152-05C5408002CA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2016-09-18T03:08:00Z</dcterms:created>
  <dc:creator>化工学院</dc:creator>
  <cp:lastModifiedBy>Administrator</cp:lastModifiedBy>
  <cp:lastPrinted>2021-09-13T00:37:00Z</cp:lastPrinted>
  <dcterms:modified xsi:type="dcterms:W3CDTF">2022-09-13T08:17:49Z</dcterms:modified>
  <dc:title>化工学院2008届毕业生推免硕士研究生工作方案</dc:title>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2052-11.1.0.12019</vt:lpwstr>
  </property>
  <property fmtid="{D5CDD505-2E9C-101B-9397-08002B2CF9AE}" pid="3" name="ICV">
    <vt:lpwstr>A719801457494AE49799349BB7DCA4CC</vt:lpwstr>
  </property>
</Properties>
</file>